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
      </w:r>
    </w:p>
    <w:p>
      <w:pPr>
        <w:jc w:val="center"/>
      </w:pPr>
      <w:r>
        <w:rPr>
          <w:rFonts w:ascii="맑은 고딕" w:cs="맑은 고딕" w:eastAsia="맑은 고딕" w:hAnsi="맑은 고딕"/>
          <w:b/>
          <w:bCs/>
          <w:color w:val="1F3864"/>
          <w:sz w:val="32"/>
          <w:szCs w:val="32"/>
        </w:rPr>
        <w:t xml:space="preserve">신사업 개발 담당</w:t>
      </w:r>
    </w:p>
    <w:p>
      <w:r>
        <w:rPr>
          <w:rFonts w:ascii="맑은 고딕" w:cs="맑은 고딕" w:eastAsia="맑은 고딕" w:hAnsi="맑은 고딕"/>
          <w:sz w:val="22"/>
          <w:szCs w:val="22"/>
        </w:rPr>
        <w:t xml:space="preserve"/>
      </w:r>
    </w:p>
    <w:p>
      <w:pPr>
        <w:jc w:val="center"/>
      </w:pPr>
      <w:r>
        <w:rPr>
          <w:rFonts w:ascii="맑은 고딕" w:cs="맑은 고딕" w:eastAsia="맑은 고딕" w:hAnsi="맑은 고딕"/>
          <w:color w:val="2E75B6"/>
          <w:sz w:val="24"/>
          <w:szCs w:val="24"/>
        </w:rPr>
        <w:t xml:space="preserve">B2C 중소기업 사업기획팀 업무 매뉴얼</w:t>
      </w:r>
    </w:p>
    <w:p>
      <w:r>
        <w:rPr>
          <w:rFonts w:ascii="맑은 고딕" w:cs="맑은 고딕" w:eastAsia="맑은 고딕" w:hAnsi="맑은 고딕"/>
          <w:sz w:val="22"/>
          <w:szCs w:val="22"/>
        </w:rPr>
        <w:t xml:space="preserve"/>
      </w:r>
    </w:p>
    <w:p>
      <w:pPr>
        <w:jc w:val="center"/>
      </w:pPr>
      <w:r>
        <w:rPr>
          <w:rFonts w:ascii="맑은 고딕" w:cs="맑은 고딕" w:eastAsia="맑은 고딕" w:hAnsi="맑은 고딕"/>
          <w:color w:val="666666"/>
          <w:sz w:val="20"/>
          <w:szCs w:val="20"/>
        </w:rPr>
        <w:t xml:space="preserve">v1.0 | 2025년</w:t>
      </w:r>
    </w:p>
    <w:p>
      <w:r>
        <w:br w:type="page"/>
      </w:r>
    </w:p>
    <w:p>
      <w:pPr>
        <w:pStyle w:val="Heading1"/>
      </w:pPr>
      <w:r>
        <w:rPr>
          <w:rFonts w:ascii="맑은 고딕" w:cs="맑은 고딕" w:eastAsia="맑은 고딕" w:hAnsi="맑은 고딕"/>
          <w:b/>
          <w:bCs/>
          <w:color w:val="1F3864"/>
          <w:sz w:val="32"/>
          <w:szCs w:val="32"/>
        </w:rPr>
        <w:t xml:space="preserve">1장. 직무 개요</w:t>
      </w:r>
    </w:p>
    <w:p>
      <w:pPr>
        <w:pStyle w:val="Heading2"/>
      </w:pPr>
      <w:r>
        <w:rPr>
          <w:rFonts w:ascii="맑은 고딕" w:cs="맑은 고딕" w:eastAsia="맑은 고딕" w:hAnsi="맑은 고딕"/>
          <w:b/>
          <w:bCs/>
          <w:color w:val="2E75B6"/>
          <w:sz w:val="28"/>
          <w:szCs w:val="28"/>
        </w:rPr>
        <w:t xml:space="preserve">1.1 직무 정의</w:t>
      </w:r>
    </w:p>
    <w:p>
      <w:r>
        <w:rPr>
          <w:rFonts w:ascii="맑은 고딕" w:cs="맑은 고딕" w:eastAsia="맑은 고딕" w:hAnsi="맑은 고딕"/>
          <w:sz w:val="22"/>
          <w:szCs w:val="22"/>
        </w:rPr>
        <w:t xml:space="preserve">신사업 개발 담당은 B2C 중소기업의 성장 동력을 발굴하기 위해 신규 사업 기회를 탐색하고, 시장성·수익성 분석을 통해 새로운 비즈니스 모델을 설계하는 직무이다. 급변하는 소비자 트렌드와 기술 환경을 지속적으로 모니터링하여 회사가 선제적으로 시장을 개척할 수 있도록 전략적 인사이트를 제공한다.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신사업 아이디어의 검증부터 파일럿 실행, 투자 의사결정 지원, 런칭 후 성과 관리까지 전 주기를 담당한다. 불확실한 환경에서 가설을 빠르게 검증하고 실패로부터 학습하는 린(Lean) 방식의 접근을 지향하며, 내부 자원과 외부 파트너를 효과적으로 연계하여 신사업의 성공 가능성을 높이는 역할을 수행한다.</w:t>
      </w:r>
    </w:p>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1.2 협업 구조</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4700"/>
        <w:gridCol w:w="2138"/>
      </w:tblGrid>
      <w:tr>
        <w:tc>
          <w:tcPr>
            <w:tcW w:type="dxa" w:w="2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부서</w:t>
            </w:r>
          </w:p>
        </w:tc>
        <w:tc>
          <w:tcPr>
            <w:tcW w:type="dxa" w:w="47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내용</w:t>
            </w:r>
          </w:p>
        </w:tc>
        <w:tc>
          <w:tcPr>
            <w:tcW w:type="dxa" w:w="21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빈도</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경영진/대표이사</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 방향 승인, 투자 의사결정 보고</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1회</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투자 타당성 검토, 수익성 모델 검증</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 1회 이상</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마케팅팀</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시장 조사, 타깃 고객 분석, 고객 검증</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수시</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상품기획팀</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신제품·서비스 기획 연계 협의</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1~2회</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IT팀</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디지털 신사업 기술 검토 및 시스템 구축</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프로젝트별</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법무/외부 법무</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계약·규제 검토, 지적재산권 보호</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수시</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1.3 필요 역량</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4900"/>
        <w:gridCol w:w="2238"/>
      </w:tblGrid>
      <w:tr>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역량 구분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세부 내용</w:t>
            </w:r>
          </w:p>
        </w:tc>
        <w:tc>
          <w:tcPr>
            <w:tcW w:type="dxa" w:w="2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수준</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기회 탐색력</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트렌드·기술·고객 니즈를 연결하여 사업 기회를 발굴하는 능력</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비즈니스 모델 설계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수익 구조·가치 제안·채널을 체계적으로 설계하는 능력</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 분석</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NPV, IRR, 손익분기점 분석 등 투자 타당성 평가 능력</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프로젝트 관리</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파일럿 사업의 기획·실행·평가를 종합 관리하는 능력</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협상력</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외부 파트너·투자자와의 협의 및 조건 협상 능력</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리스크 관리</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 리스크 식별 및 대응 방안 수립 능력</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중-상</w:t>
            </w:r>
          </w:p>
        </w:tc>
      </w:tr>
    </w:tbl>
    <w:p>
      <w:r>
        <w:br w:type="page"/>
      </w:r>
    </w:p>
    <w:p>
      <w:pPr>
        <w:pStyle w:val="Heading1"/>
      </w:pPr>
      <w:r>
        <w:rPr>
          <w:rFonts w:ascii="맑은 고딕" w:cs="맑은 고딕" w:eastAsia="맑은 고딕" w:hAnsi="맑은 고딕"/>
          <w:b/>
          <w:bCs/>
          <w:color w:val="1F3864"/>
          <w:sz w:val="32"/>
          <w:szCs w:val="32"/>
        </w:rPr>
        <w:t xml:space="preserve">2장. 핵심 업무별 상세 프로세스</w:t>
      </w:r>
    </w:p>
    <w:p>
      <w:pPr>
        <w:pStyle w:val="Heading2"/>
      </w:pPr>
      <w:r>
        <w:rPr>
          <w:rFonts w:ascii="맑은 고딕" w:cs="맑은 고딕" w:eastAsia="맑은 고딕" w:hAnsi="맑은 고딕"/>
          <w:b/>
          <w:bCs/>
          <w:color w:val="2E75B6"/>
          <w:sz w:val="28"/>
          <w:szCs w:val="28"/>
        </w:rPr>
        <w:t xml:space="preserve">2.1 신사업 기회 탐색 및 아이디어 발굴</w:t>
      </w:r>
    </w:p>
    <w:p>
      <w:pPr>
        <w:pStyle w:val="ListParagraph"/>
        <w:numPr>
          <w:ilvl w:val="0"/>
          <w:numId w:val="2"/>
        </w:numPr>
      </w:pPr>
      <w:r>
        <w:rPr>
          <w:rFonts w:ascii="맑은 고딕" w:cs="맑은 고딕" w:eastAsia="맑은 고딕" w:hAnsi="맑은 고딕"/>
          <w:sz w:val="22"/>
          <w:szCs w:val="22"/>
        </w:rPr>
        <w:t xml:space="preserve">소비자 트렌드, 기술 변화, 경쟁사 동향, 규제 환경을 정기적으로 스캔한다.</w:t>
      </w:r>
    </w:p>
    <w:p>
      <w:pPr>
        <w:pStyle w:val="ListParagraph"/>
        <w:numPr>
          <w:ilvl w:val="0"/>
          <w:numId w:val="2"/>
        </w:numPr>
      </w:pPr>
      <w:r>
        <w:rPr>
          <w:rFonts w:ascii="맑은 고딕" w:cs="맑은 고딕" w:eastAsia="맑은 고딕" w:hAnsi="맑은 고딕"/>
          <w:sz w:val="22"/>
          <w:szCs w:val="22"/>
        </w:rPr>
        <w:t xml:space="preserve">내부 임직원 아이디어 공모전, 고객 불만 데이터, 현장 인사이트를 수집한다.</w:t>
      </w:r>
    </w:p>
    <w:p>
      <w:pPr>
        <w:pStyle w:val="ListParagraph"/>
        <w:numPr>
          <w:ilvl w:val="0"/>
          <w:numId w:val="2"/>
        </w:numPr>
      </w:pPr>
      <w:r>
        <w:rPr>
          <w:rFonts w:ascii="맑은 고딕" w:cs="맑은 고딕" w:eastAsia="맑은 고딕" w:hAnsi="맑은 고딕"/>
          <w:sz w:val="22"/>
          <w:szCs w:val="22"/>
        </w:rPr>
        <w:t xml:space="preserve">발굴된 아이디어를 신사업 아이디어 풀(Pool)에 등록하고 분류한다.</w:t>
      </w:r>
    </w:p>
    <w:p>
      <w:pPr>
        <w:pStyle w:val="ListParagraph"/>
        <w:numPr>
          <w:ilvl w:val="0"/>
          <w:numId w:val="2"/>
        </w:numPr>
      </w:pPr>
      <w:r>
        <w:rPr>
          <w:rFonts w:ascii="맑은 고딕" w:cs="맑은 고딕" w:eastAsia="맑은 고딕" w:hAnsi="맑은 고딕"/>
          <w:sz w:val="22"/>
          <w:szCs w:val="22"/>
        </w:rPr>
        <w:t xml:space="preserve">아이디어별 시장 규모, 성장성, 자사 역량 적합성을 1차 스크리닝한다.</w:t>
      </w:r>
    </w:p>
    <w:p>
      <w:pPr>
        <w:pStyle w:val="ListParagraph"/>
        <w:numPr>
          <w:ilvl w:val="0"/>
          <w:numId w:val="2"/>
        </w:numPr>
      </w:pPr>
      <w:r>
        <w:rPr>
          <w:rFonts w:ascii="맑은 고딕" w:cs="맑은 고딕" w:eastAsia="맑은 고딕" w:hAnsi="맑은 고딕"/>
          <w:sz w:val="22"/>
          <w:szCs w:val="22"/>
        </w:rPr>
        <w:t xml:space="preserve">1차 통과 아이디어에 대해 팀 내 토론 및 경영진 의견을 수렴한다.</w:t>
      </w:r>
    </w:p>
    <w:p>
      <w:pPr>
        <w:pStyle w:val="ListParagraph"/>
        <w:numPr>
          <w:ilvl w:val="0"/>
          <w:numId w:val="2"/>
        </w:numPr>
      </w:pPr>
      <w:r>
        <w:rPr>
          <w:rFonts w:ascii="맑은 고딕" w:cs="맑은 고딕" w:eastAsia="맑은 고딕" w:hAnsi="맑은 고딕"/>
          <w:sz w:val="22"/>
          <w:szCs w:val="22"/>
        </w:rPr>
        <w:t xml:space="preserve">우선 탐색 아이디어를 선정하고 심화 검토 계획을 수립한다.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트렌드·기술·경쟁사 환경 스캔</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환경 스캔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내부·외부 아이디어 수집</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아이디어 수집 목록</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아이디어 풀 등록 및 분류</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 아이디어 풀</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1차 스크리닝</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스크리닝 결과표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팀 내 토론 및 경영진 의견 수렴</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토론 결과 기록</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우선 탐색 아이디어 선정</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선정 아이디어 목록</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트렌드 스캔 보고서 월 1회 이상 작성</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기술 트렌드(AI, DX 등) 조사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경쟁사 신사업 동향 파악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내부 아이디어 수집 채널 운영 확인</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고객 불만/VOC 분석 결과 검토</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마케팅팀</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아이디어 풀 10건 이상 유지 확인</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1차 스크리닝 기준(시장규모/적합성) 적용</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팀 내 아이디어 토론 회의 실시</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팀장</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의견 수렴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대표이사</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우선 탐색 아이디어 2~3건 선정</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2.2 시장성·수익성 타당성 검토</w:t>
      </w:r>
    </w:p>
    <w:p>
      <w:pPr>
        <w:pStyle w:val="ListParagraph"/>
        <w:numPr>
          <w:ilvl w:val="0"/>
          <w:numId w:val="2"/>
        </w:numPr>
      </w:pPr>
      <w:r>
        <w:rPr>
          <w:rFonts w:ascii="맑은 고딕" w:cs="맑은 고딕" w:eastAsia="맑은 고딕" w:hAnsi="맑은 고딕"/>
          <w:sz w:val="22"/>
          <w:szCs w:val="22"/>
        </w:rPr>
        <w:t xml:space="preserve">대상 시장의 규모(TAM/SAM/SOM)를 조사하고 성장률을 분석한다.</w:t>
      </w:r>
    </w:p>
    <w:p>
      <w:pPr>
        <w:pStyle w:val="ListParagraph"/>
        <w:numPr>
          <w:ilvl w:val="0"/>
          <w:numId w:val="2"/>
        </w:numPr>
      </w:pPr>
      <w:r>
        <w:rPr>
          <w:rFonts w:ascii="맑은 고딕" w:cs="맑은 고딕" w:eastAsia="맑은 고딕" w:hAnsi="맑은 고딕"/>
          <w:sz w:val="22"/>
          <w:szCs w:val="22"/>
        </w:rPr>
        <w:t xml:space="preserve">목표 고객 세그먼트와 핵심 고객 니즈를 정의하고 고객 인터뷰를 실시한다.</w:t>
      </w:r>
    </w:p>
    <w:p>
      <w:pPr>
        <w:pStyle w:val="ListParagraph"/>
        <w:numPr>
          <w:ilvl w:val="0"/>
          <w:numId w:val="2"/>
        </w:numPr>
      </w:pPr>
      <w:r>
        <w:rPr>
          <w:rFonts w:ascii="맑은 고딕" w:cs="맑은 고딕" w:eastAsia="맑은 고딕" w:hAnsi="맑은 고딕"/>
          <w:sz w:val="22"/>
          <w:szCs w:val="22"/>
        </w:rPr>
        <w:t xml:space="preserve">경쟁 강도, 대체재, 진입 장벽 등 경쟁 구조를 분석한다.</w:t>
      </w:r>
    </w:p>
    <w:p>
      <w:pPr>
        <w:pStyle w:val="ListParagraph"/>
        <w:numPr>
          <w:ilvl w:val="0"/>
          <w:numId w:val="2"/>
        </w:numPr>
      </w:pPr>
      <w:r>
        <w:rPr>
          <w:rFonts w:ascii="맑은 고딕" w:cs="맑은 고딕" w:eastAsia="맑은 고딕" w:hAnsi="맑은 고딕"/>
          <w:sz w:val="22"/>
          <w:szCs w:val="22"/>
        </w:rPr>
        <w:t xml:space="preserve">수익 모델 시뮬레이션(매출, 원가, 이익)을 통해 재무 타당성을 검토한다.</w:t>
      </w:r>
    </w:p>
    <w:p>
      <w:pPr>
        <w:pStyle w:val="ListParagraph"/>
        <w:numPr>
          <w:ilvl w:val="0"/>
          <w:numId w:val="2"/>
        </w:numPr>
      </w:pPr>
      <w:r>
        <w:rPr>
          <w:rFonts w:ascii="맑은 고딕" w:cs="맑은 고딕" w:eastAsia="맑은 고딕" w:hAnsi="맑은 고딕"/>
          <w:sz w:val="22"/>
          <w:szCs w:val="22"/>
        </w:rPr>
        <w:t xml:space="preserve">초기 투자 규모, 손익분기점(BEP), 회수 기간(Payback Period)을 산출한다.</w:t>
      </w:r>
    </w:p>
    <w:p>
      <w:pPr>
        <w:pStyle w:val="ListParagraph"/>
        <w:numPr>
          <w:ilvl w:val="0"/>
          <w:numId w:val="2"/>
        </w:numPr>
      </w:pPr>
      <w:r>
        <w:rPr>
          <w:rFonts w:ascii="맑은 고딕" w:cs="맑은 고딕" w:eastAsia="맑은 고딕" w:hAnsi="맑은 고딕"/>
          <w:sz w:val="22"/>
          <w:szCs w:val="22"/>
        </w:rPr>
        <w:t xml:space="preserve">타당성 검토 결과를 종합하여 진출 여부 추천 의견을 경영진에게 보고한다.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시장 규모(TAM/SAM/SOM) 조사</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시장 규모 분석서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목표 고객 정의 및 인터뷰</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고객 인터뷰 결과 보고서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 구조 분석</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 분석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수익 모델 시뮬레이션</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 시뮬레이션 파일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투자 규모·BEP·회수 기간 산출</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투자 타당성 분석서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타당성 보고</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진출 결정 보고서</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TAM/SAM/SOM 수치 산출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목표 고객 세그먼트 정의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고객 인터뷰 최소 10명 실시</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경쟁사 3개 이상 분석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진입 장벽 항목 도출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수익 시뮬레이션(낙관/기본/보수)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초기 투자 규모 산출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BEP 기간 산출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Payback Period 계산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타당성 보고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대표이사</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2.3 비즈니스 모델 설계</w:t>
      </w:r>
    </w:p>
    <w:p>
      <w:pPr>
        <w:pStyle w:val="ListParagraph"/>
        <w:numPr>
          <w:ilvl w:val="0"/>
          <w:numId w:val="2"/>
        </w:numPr>
      </w:pPr>
      <w:r>
        <w:rPr>
          <w:rFonts w:ascii="맑은 고딕" w:cs="맑은 고딕" w:eastAsia="맑은 고딕" w:hAnsi="맑은 고딕"/>
          <w:sz w:val="22"/>
          <w:szCs w:val="22"/>
        </w:rPr>
        <w:t xml:space="preserve">Business Model Canvas(BMC)를 활용하여 9개 요소를 체계적으로 정의한다.</w:t>
      </w:r>
    </w:p>
    <w:p>
      <w:pPr>
        <w:pStyle w:val="ListParagraph"/>
        <w:numPr>
          <w:ilvl w:val="0"/>
          <w:numId w:val="2"/>
        </w:numPr>
      </w:pPr>
      <w:r>
        <w:rPr>
          <w:rFonts w:ascii="맑은 고딕" w:cs="맑은 고딕" w:eastAsia="맑은 고딕" w:hAnsi="맑은 고딕"/>
          <w:sz w:val="22"/>
          <w:szCs w:val="22"/>
        </w:rPr>
        <w:t xml:space="preserve">핵심 가치 제안(Value Proposition)을 고객 니즈와 연계하여 명확히 수립한다.</w:t>
      </w:r>
    </w:p>
    <w:p>
      <w:pPr>
        <w:pStyle w:val="ListParagraph"/>
        <w:numPr>
          <w:ilvl w:val="0"/>
          <w:numId w:val="2"/>
        </w:numPr>
      </w:pPr>
      <w:r>
        <w:rPr>
          <w:rFonts w:ascii="맑은 고딕" w:cs="맑은 고딕" w:eastAsia="맑은 고딕" w:hAnsi="맑은 고딕"/>
          <w:sz w:val="22"/>
          <w:szCs w:val="22"/>
        </w:rPr>
        <w:t xml:space="preserve">수익 모델(Revenue Stream)과 비용 구조(Cost Structure)를 상세히 설계한다.</w:t>
      </w:r>
    </w:p>
    <w:p>
      <w:pPr>
        <w:pStyle w:val="ListParagraph"/>
        <w:numPr>
          <w:ilvl w:val="0"/>
          <w:numId w:val="2"/>
        </w:numPr>
      </w:pPr>
      <w:r>
        <w:rPr>
          <w:rFonts w:ascii="맑은 고딕" w:cs="맑은 고딕" w:eastAsia="맑은 고딕" w:hAnsi="맑은 고딕"/>
          <w:sz w:val="22"/>
          <w:szCs w:val="22"/>
        </w:rPr>
        <w:t xml:space="preserve">유통 채널 및 고객 관계 관리 방식을 정의한다.</w:t>
      </w:r>
    </w:p>
    <w:p>
      <w:pPr>
        <w:pStyle w:val="ListParagraph"/>
        <w:numPr>
          <w:ilvl w:val="0"/>
          <w:numId w:val="2"/>
        </w:numPr>
      </w:pPr>
      <w:r>
        <w:rPr>
          <w:rFonts w:ascii="맑은 고딕" w:cs="맑은 고딕" w:eastAsia="맑은 고딕" w:hAnsi="맑은 고딕"/>
          <w:sz w:val="22"/>
          <w:szCs w:val="22"/>
        </w:rPr>
        <w:t xml:space="preserve">핵심 파트너십 및 필요 자원·역량을 식별한다.</w:t>
      </w:r>
    </w:p>
    <w:p>
      <w:pPr>
        <w:pStyle w:val="ListParagraph"/>
        <w:numPr>
          <w:ilvl w:val="0"/>
          <w:numId w:val="2"/>
        </w:numPr>
      </w:pPr>
      <w:r>
        <w:rPr>
          <w:rFonts w:ascii="맑은 고딕" w:cs="맑은 고딕" w:eastAsia="맑은 고딕" w:hAnsi="맑은 고딕"/>
          <w:sz w:val="22"/>
          <w:szCs w:val="22"/>
        </w:rPr>
        <w:t xml:space="preserve">설계된 비즈니스 모델을 경영진에게 발표하고 수정·보완 사항을 반영한다.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BMC 9개 요소 초안 작성</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BMC 초안</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가치 제안 정의</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가치 제안서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수익 모델·비용 구조 설계</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수익·비용 구조 설계서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유통 채널·고객 관계 정의</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채널·CRM 전략서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핵심 파트너십·자원 식별</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파트너십 계획서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발표 및 BMC 확정</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확정 BMC 문서</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BMC 9개 요소 모두 작성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가치 제안 고객 니즈 연계 확인</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주요 고객 세그먼트 2개 이상 정의</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수익 모델 유형(구독/판매/수수료) 결정</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주요 비용 항목 3개 이상 정의</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유통 채널 온/오프라인 구분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핵심 파트너 후보 목록 작성</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필요 내부 자원·역량 갭 분석</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BMC 발표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피드백 반영 BMC 최종본 확정</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2.4 파일럿 사업 기획 및 실행</w:t>
      </w:r>
    </w:p>
    <w:p>
      <w:pPr>
        <w:pStyle w:val="ListParagraph"/>
        <w:numPr>
          <w:ilvl w:val="0"/>
          <w:numId w:val="2"/>
        </w:numPr>
      </w:pPr>
      <w:r>
        <w:rPr>
          <w:rFonts w:ascii="맑은 고딕" w:cs="맑은 고딕" w:eastAsia="맑은 고딕" w:hAnsi="맑은 고딕"/>
          <w:sz w:val="22"/>
          <w:szCs w:val="22"/>
        </w:rPr>
        <w:t xml:space="preserve">파일럿의 목적, 검증할 핵심 가설, 성공 기준(Success Metric)을 명확히 정의한다.</w:t>
      </w:r>
    </w:p>
    <w:p>
      <w:pPr>
        <w:pStyle w:val="ListParagraph"/>
        <w:numPr>
          <w:ilvl w:val="0"/>
          <w:numId w:val="2"/>
        </w:numPr>
      </w:pPr>
      <w:r>
        <w:rPr>
          <w:rFonts w:ascii="맑은 고딕" w:cs="맑은 고딕" w:eastAsia="맑은 고딕" w:hAnsi="맑은 고딕"/>
          <w:sz w:val="22"/>
          <w:szCs w:val="22"/>
        </w:rPr>
        <w:t xml:space="preserve">파일럿 범위(지역, 채널, 고객 규모)와 기간을 설정하고 예산을 편성한다.</w:t>
      </w:r>
    </w:p>
    <w:p>
      <w:pPr>
        <w:pStyle w:val="ListParagraph"/>
        <w:numPr>
          <w:ilvl w:val="0"/>
          <w:numId w:val="2"/>
        </w:numPr>
      </w:pPr>
      <w:r>
        <w:rPr>
          <w:rFonts w:ascii="맑은 고딕" w:cs="맑은 고딕" w:eastAsia="맑은 고딕" w:hAnsi="맑은 고딕"/>
          <w:sz w:val="22"/>
          <w:szCs w:val="22"/>
        </w:rPr>
        <w:t xml:space="preserve">파일럿 실행에 필요한 내부 인력과 외부 파트너를 조직하고 역할을 분담한다.</w:t>
      </w:r>
    </w:p>
    <w:p>
      <w:pPr>
        <w:pStyle w:val="ListParagraph"/>
        <w:numPr>
          <w:ilvl w:val="0"/>
          <w:numId w:val="2"/>
        </w:numPr>
      </w:pPr>
      <w:r>
        <w:rPr>
          <w:rFonts w:ascii="맑은 고딕" w:cs="맑은 고딕" w:eastAsia="맑은 고딕" w:hAnsi="맑은 고딕"/>
          <w:sz w:val="22"/>
          <w:szCs w:val="22"/>
        </w:rPr>
        <w:t xml:space="preserve">파일럿을 실행하고 데이터를 수집하여 가설 검증 결과를 분석한다.</w:t>
      </w:r>
    </w:p>
    <w:p>
      <w:pPr>
        <w:pStyle w:val="ListParagraph"/>
        <w:numPr>
          <w:ilvl w:val="0"/>
          <w:numId w:val="2"/>
        </w:numPr>
      </w:pPr>
      <w:r>
        <w:rPr>
          <w:rFonts w:ascii="맑은 고딕" w:cs="맑은 고딕" w:eastAsia="맑은 고딕" w:hAnsi="맑은 고딕"/>
          <w:sz w:val="22"/>
          <w:szCs w:val="22"/>
        </w:rPr>
        <w:t xml:space="preserve">파일럿 결과를 바탕으로 사업 모델 수정·보완 사항을 도출한다.</w:t>
      </w:r>
    </w:p>
    <w:p>
      <w:pPr>
        <w:pStyle w:val="ListParagraph"/>
        <w:numPr>
          <w:ilvl w:val="0"/>
          <w:numId w:val="2"/>
        </w:numPr>
      </w:pPr>
      <w:r>
        <w:rPr>
          <w:rFonts w:ascii="맑은 고딕" w:cs="맑은 고딕" w:eastAsia="맑은 고딕" w:hAnsi="맑은 고딕"/>
          <w:sz w:val="22"/>
          <w:szCs w:val="22"/>
        </w:rPr>
        <w:t xml:space="preserve">파일럿 결과 보고서를 작성하여 본사업 진출 여부를 경영진에게 건의한다.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핵심 가설 및 성공 기준 정의</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파일럿 기획서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파일럿 범위·기간·예산 설정</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파일럿 계획서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실행 조직 구성 및 역할 분담</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파일럿 조직도</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파일럿 실행 및 데이터 수집</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실행 일지, 데이터</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가설 검증 및 모델 보완</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파일럿 분석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결과 보고</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파일럿 결과 보고서</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핵심 가설 3개 이상 정의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성공 기준(KPI) 정량 설정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파일럿 예산 편성 및 승인</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파일럿 기간 확정(최소 1개월)</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실행 조직 구성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외부 파트너 계약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법무팀</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파일럿 실행 킥오프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팀장</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주간 데이터 모니터링 실시</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가설 검증 결과 분석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파일럿 결과 보고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대표이사</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2.5 신사업 투자 검토 및 의사결정 지원</w:t>
      </w:r>
    </w:p>
    <w:p>
      <w:pPr>
        <w:pStyle w:val="ListParagraph"/>
        <w:numPr>
          <w:ilvl w:val="0"/>
          <w:numId w:val="2"/>
        </w:numPr>
      </w:pPr>
      <w:r>
        <w:rPr>
          <w:rFonts w:ascii="맑은 고딕" w:cs="맑은 고딕" w:eastAsia="맑은 고딕" w:hAnsi="맑은 고딕"/>
          <w:sz w:val="22"/>
          <w:szCs w:val="22"/>
        </w:rPr>
        <w:t xml:space="preserve">투자 검토 대상 신사업의 사업 계획서와 재무 모델을 수집·검토한다.</w:t>
      </w:r>
    </w:p>
    <w:p>
      <w:pPr>
        <w:pStyle w:val="ListParagraph"/>
        <w:numPr>
          <w:ilvl w:val="0"/>
          <w:numId w:val="2"/>
        </w:numPr>
      </w:pPr>
      <w:r>
        <w:rPr>
          <w:rFonts w:ascii="맑은 고딕" w:cs="맑은 고딕" w:eastAsia="맑은 고딕" w:hAnsi="맑은 고딕"/>
          <w:sz w:val="22"/>
          <w:szCs w:val="22"/>
        </w:rPr>
        <w:t xml:space="preserve">시장성, 경쟁력, 실행 팀 역량 등 정성·정량 평가를 실시한다.</w:t>
      </w:r>
    </w:p>
    <w:p>
      <w:pPr>
        <w:pStyle w:val="ListParagraph"/>
        <w:numPr>
          <w:ilvl w:val="0"/>
          <w:numId w:val="2"/>
        </w:numPr>
      </w:pPr>
      <w:r>
        <w:rPr>
          <w:rFonts w:ascii="맑은 고딕" w:cs="맑은 고딕" w:eastAsia="맑은 고딕" w:hAnsi="맑은 고딕"/>
          <w:sz w:val="22"/>
          <w:szCs w:val="22"/>
        </w:rPr>
        <w:t xml:space="preserve">투자 규모, 지분 구조, 수익 배분 방식을 검토하고 협상 조건을 설정한다.</w:t>
      </w:r>
    </w:p>
    <w:p>
      <w:pPr>
        <w:pStyle w:val="ListParagraph"/>
        <w:numPr>
          <w:ilvl w:val="0"/>
          <w:numId w:val="2"/>
        </w:numPr>
      </w:pPr>
      <w:r>
        <w:rPr>
          <w:rFonts w:ascii="맑은 고딕" w:cs="맑은 고딕" w:eastAsia="맑은 고딕" w:hAnsi="맑은 고딕"/>
          <w:sz w:val="22"/>
          <w:szCs w:val="22"/>
        </w:rPr>
        <w:t xml:space="preserve">법무·재무 실사(Due Diligence)를 진행하여 리스크를 파악한다.</w:t>
      </w:r>
    </w:p>
    <w:p>
      <w:pPr>
        <w:pStyle w:val="ListParagraph"/>
        <w:numPr>
          <w:ilvl w:val="0"/>
          <w:numId w:val="2"/>
        </w:numPr>
      </w:pPr>
      <w:r>
        <w:rPr>
          <w:rFonts w:ascii="맑은 고딕" w:cs="맑은 고딕" w:eastAsia="맑은 고딕" w:hAnsi="맑은 고딕"/>
          <w:sz w:val="22"/>
          <w:szCs w:val="22"/>
        </w:rPr>
        <w:t xml:space="preserve">투자 검토 결과를 경영진에게 보고하고 투자 의사결정을 지원한다.</w:t>
      </w:r>
    </w:p>
    <w:p>
      <w:pPr>
        <w:pStyle w:val="ListParagraph"/>
        <w:numPr>
          <w:ilvl w:val="0"/>
          <w:numId w:val="2"/>
        </w:numPr>
      </w:pPr>
      <w:r>
        <w:rPr>
          <w:rFonts w:ascii="맑은 고딕" w:cs="맑은 고딕" w:eastAsia="맑은 고딕" w:hAnsi="맑은 고딕"/>
          <w:sz w:val="22"/>
          <w:szCs w:val="22"/>
        </w:rPr>
        <w:t xml:space="preserve">투자 결정 후 계약 체결 및 초기 사업 지원 계획을 수립한다.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사업 계획서·재무 모델 수집 및 검토</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초기 검토 의견서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정성·정량 평가 실시</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투자 평가표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투자 조건 설정 및 협상</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투자 조건 협상안</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법무·재무 실사</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실사 보고서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투자 의사결정 보고</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투자 의사결정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계약 체결 및 지원 계획 수립</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투자 계약서</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사업 계획서 기본 요건 충족 확인</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 모델 검증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시장성 평가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경쟁력 평가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실행팀 역량 평가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투자 금액 및 지분율 협의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법무 검토(계약·규제)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법무팀</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 실사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투자 의사결정 회의 실시</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대표이사</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투자 계약서 체결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법무팀</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2.6 신사업 런칭 후 성과 관리</w:t>
      </w:r>
    </w:p>
    <w:p>
      <w:pPr>
        <w:pStyle w:val="ListParagraph"/>
        <w:numPr>
          <w:ilvl w:val="0"/>
          <w:numId w:val="2"/>
        </w:numPr>
      </w:pPr>
      <w:r>
        <w:rPr>
          <w:rFonts w:ascii="맑은 고딕" w:cs="맑은 고딕" w:eastAsia="맑은 고딕" w:hAnsi="맑은 고딕"/>
          <w:sz w:val="22"/>
          <w:szCs w:val="22"/>
        </w:rPr>
        <w:t xml:space="preserve">런칭 초기 KPI(매출, 고객 수, 재구매율 등)를 설정하고 모니터링 체계를 구축한다.</w:t>
      </w:r>
    </w:p>
    <w:p>
      <w:pPr>
        <w:pStyle w:val="ListParagraph"/>
        <w:numPr>
          <w:ilvl w:val="0"/>
          <w:numId w:val="2"/>
        </w:numPr>
      </w:pPr>
      <w:r>
        <w:rPr>
          <w:rFonts w:ascii="맑은 고딕" w:cs="맑은 고딕" w:eastAsia="맑은 고딕" w:hAnsi="맑은 고딕"/>
          <w:sz w:val="22"/>
          <w:szCs w:val="22"/>
        </w:rPr>
        <w:t xml:space="preserve">월간 실적을 수집하고 목표 대비 성과를 분석하여 보고서를 작성한다.</w:t>
      </w:r>
    </w:p>
    <w:p>
      <w:pPr>
        <w:pStyle w:val="ListParagraph"/>
        <w:numPr>
          <w:ilvl w:val="0"/>
          <w:numId w:val="2"/>
        </w:numPr>
      </w:pPr>
      <w:r>
        <w:rPr>
          <w:rFonts w:ascii="맑은 고딕" w:cs="맑은 고딕" w:eastAsia="맑은 고딕" w:hAnsi="맑은 고딕"/>
          <w:sz w:val="22"/>
          <w:szCs w:val="22"/>
        </w:rPr>
        <w:t xml:space="preserve">성과 부진 원인을 진단하고 개선 방향(서비스 개선, 마케팅 강화 등)을 수립한다.</w:t>
      </w:r>
    </w:p>
    <w:p>
      <w:pPr>
        <w:pStyle w:val="ListParagraph"/>
        <w:numPr>
          <w:ilvl w:val="0"/>
          <w:numId w:val="2"/>
        </w:numPr>
      </w:pPr>
      <w:r>
        <w:rPr>
          <w:rFonts w:ascii="맑은 고딕" w:cs="맑은 고딕" w:eastAsia="맑은 고딕" w:hAnsi="맑은 고딕"/>
          <w:sz w:val="22"/>
          <w:szCs w:val="22"/>
        </w:rPr>
        <w:t xml:space="preserve">경영진에게 정기 성과 보고를 실시하고 추가 투자·지원 여부를 협의한다.</w:t>
      </w:r>
    </w:p>
    <w:p>
      <w:pPr>
        <w:pStyle w:val="ListParagraph"/>
        <w:numPr>
          <w:ilvl w:val="0"/>
          <w:numId w:val="2"/>
        </w:numPr>
      </w:pPr>
      <w:r>
        <w:rPr>
          <w:rFonts w:ascii="맑은 고딕" w:cs="맑은 고딕" w:eastAsia="맑은 고딕" w:hAnsi="맑은 고딕"/>
          <w:sz w:val="22"/>
          <w:szCs w:val="22"/>
        </w:rPr>
        <w:t xml:space="preserve">시장 반응 및 고객 피드백을 지속적으로 수집하여 사업 모델을 고도화한다.</w:t>
      </w:r>
    </w:p>
    <w:p>
      <w:pPr>
        <w:pStyle w:val="ListParagraph"/>
        <w:numPr>
          <w:ilvl w:val="0"/>
          <w:numId w:val="2"/>
        </w:numPr>
      </w:pPr>
      <w:r>
        <w:rPr>
          <w:rFonts w:ascii="맑은 고딕" w:cs="맑은 고딕" w:eastAsia="맑은 고딕" w:hAnsi="맑은 고딕"/>
          <w:sz w:val="22"/>
          <w:szCs w:val="22"/>
        </w:rPr>
        <w:t xml:space="preserve">일정 기간 성과가 목표 미달 시 사업 지속·전환·철수 여부를 검토한다.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런칭 KPI 설정 및 모니터링 체계 구축</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KPI 모니터링 계획</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 실적 수집 및 분석</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 성과 보고서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성과 부진 원인 진단 및 개선 방향 수립</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계획서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정기 성과 보고</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성과 보고서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고객 피드백 수집 및 사업 모델 고도화</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모델 개선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사업 지속·전환·철수 검토</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의사결정 보고서</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런칭 초기 KPI 5개 이상 설정</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성과 모니터링 주기(주간/월간) 확정</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데이터 수집 체계 구축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1개월차 실적 분석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3개월차 누적 성과 보고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성과 부진 시 원인 분석 착수</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계획 수립 및 실행</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고객 피드백 월 1회 이상 수집</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마케팅팀</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분기 성과 보고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대표이사</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6개월 이후 사업 지속 여부 검토</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br w:type="page"/>
      </w:r>
    </w:p>
    <w:p>
      <w:pPr>
        <w:pStyle w:val="Heading1"/>
      </w:pPr>
      <w:r>
        <w:rPr>
          <w:rFonts w:ascii="맑은 고딕" w:cs="맑은 고딕" w:eastAsia="맑은 고딕" w:hAnsi="맑은 고딕"/>
          <w:b/>
          <w:bCs/>
          <w:color w:val="1F3864"/>
          <w:sz w:val="32"/>
          <w:szCs w:val="32"/>
        </w:rPr>
        <w:t xml:space="preserve">3장. KPI 및 성과 지표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3000"/>
        <w:gridCol w:w="2000"/>
        <w:gridCol w:w="2138"/>
      </w:tblGrid>
      <w:tr>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지표명</w:t>
            </w:r>
          </w:p>
        </w:tc>
        <w:tc>
          <w:tcPr>
            <w:tcW w:type="dxa" w:w="3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산식/기준</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목표 기준</w:t>
            </w:r>
          </w:p>
        </w:tc>
        <w:tc>
          <w:tcPr>
            <w:tcW w:type="dxa" w:w="21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측정 주기</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 아이디어 발굴 건수</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분기별 아이디어 풀 등록 건수</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 5건 이상</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파일럿 성공률</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성공 판정 파일럿 수 / 전체 파일럿 수 × 100</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50% 이상</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 런칭 건수</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 신사업 정식 런칭 건수</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 1건 이상</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 매출 기여율</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 매출 / 전사 매출 × 100</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3년 내 10% 이상</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타당성 검토 완료율</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검토 완료 건수 / 검토 착수 건수 × 100</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100%</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파일럿 예산 준수율</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실제 집행액 / 계획 예산 × 100</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±10% 이내</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파일럿별</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투자 검토 보고서 적시 제출</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기한 내 제출 건수 / 전체 건수</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100%</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건별</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 초기 고객 획득 수</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런칭 3개월 내 신규 고객 수</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목표 대비 80% 이상</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w:t>
            </w:r>
          </w:p>
        </w:tc>
      </w:tr>
    </w:tbl>
    <w:p>
      <w:r>
        <w:br w:type="page"/>
      </w:r>
    </w:p>
    <w:p>
      <w:pPr>
        <w:pStyle w:val="Heading1"/>
      </w:pPr>
      <w:r>
        <w:rPr>
          <w:rFonts w:ascii="맑은 고딕" w:cs="맑은 고딕" w:eastAsia="맑은 고딕" w:hAnsi="맑은 고딕"/>
          <w:b/>
          <w:bCs/>
          <w:color w:val="1F3864"/>
          <w:sz w:val="32"/>
          <w:szCs w:val="32"/>
        </w:rPr>
        <w:t xml:space="preserve">4장. 주요 사용 도구</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2500"/>
        <w:gridCol w:w="1500"/>
        <w:gridCol w:w="3638"/>
      </w:tblGrid>
      <w:tr>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도구명</w:t>
            </w:r>
          </w:p>
        </w:tc>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용도</w:t>
            </w:r>
          </w:p>
        </w:tc>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무료/유료</w:t>
            </w:r>
          </w:p>
        </w:tc>
        <w:tc>
          <w:tcPr>
            <w:tcW w:type="dxa" w:w="36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추천 이유</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Microsoft Excel</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 시뮬레이션, BEP 분석</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투자 타당성 모델링 및 시나리오 분석에 최적</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Miro</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BMC 작성, 전략 워크숍</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부분 무료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시각적 비즈니스 모델 설계 및 팀 협업에 탁월</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CB Insights</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글로벌 스타트업·투자 트렌드 조사</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최신 벤처 투자 트렌드 및 신사업 사례 파악</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Statista</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시장 규모·성장률 데이터 수집</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신뢰할 수 있는 시장 통계 데이터 제공</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Notion</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신사업 아이디어 풀 관리</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부분 무료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아이디어 등록·분류·진행 상태 추적에 적합</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Google Forms</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고객 인터뷰·설문 조사</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빠른 고객 검증 및 VOC 수집에 활용</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Typeform</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고객 경험 설문</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부분 무료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직관적 UI로 응답률 높은 설문 운영 가능</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Microsoft PowerPoint</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투자 검토 보고서 작성</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발표 자료 작성 표준 도구</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Lean Canvas</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린 방식 사업 모델 검토</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신속한 가설 설정 및 검증 프레임워크로 활용</w:t>
            </w:r>
          </w:p>
        </w:tc>
      </w:tr>
    </w:tbl>
    <w:p>
      <w:r>
        <w:br w:type="page"/>
      </w:r>
    </w:p>
    <w:p>
      <w:pPr>
        <w:pStyle w:val="Heading1"/>
      </w:pPr>
      <w:r>
        <w:rPr>
          <w:rFonts w:ascii="맑은 고딕" w:cs="맑은 고딕" w:eastAsia="맑은 고딕" w:hAnsi="맑은 고딕"/>
          <w:b/>
          <w:bCs/>
          <w:color w:val="1F3864"/>
          <w:sz w:val="32"/>
          <w:szCs w:val="32"/>
        </w:rPr>
        <w:t xml:space="preserve">5장. 협업 가이드</w:t>
      </w:r>
    </w:p>
    <w:p>
      <w:r>
        <w:rPr>
          <w:rFonts w:ascii="맑은 고딕" w:cs="맑은 고딕" w:eastAsia="맑은 고딕" w:hAnsi="맑은 고딕"/>
          <w:sz w:val="22"/>
          <w:szCs w:val="22"/>
        </w:rPr>
        <w:t xml:space="preserve">신사업 개발 담당은 불확실성이 높은 업무 특성상 조직 내 다양한 부서와 유연하게 협력하는 능력이 핵심이다. 아이디어 발굴 단계에서는 마케팅·영업·상품기획팀의 현장 인사이트를 적극적으로 활용하고, 고객 접점 부서와의 정기적인 정보 공유 세션을 운영하여 시장 변화에 민감하게 반응하는 문화를 만들어간다.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파일럿 실행 단계에서는 IT팀, 운영팀 등 실행 부서와 명확한 역할 분담과 일정을 합의하고, 주간 진행 상황을 공유하여 문제를 조기에 해결한다. 외부 파트너와 협업 시에는 계약 조건과 역할 범위를 명확히 문서화하고 법무팀의 검토를 반드시 거친다. 파트너와의 신뢰 관계 구축을 위해 투명한 정보 공유와 약속 이행을 원칙으로 삼는다.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경영진과의 커뮤니케이션에서는 신사업의 불확실성을 솔직하게 공유하고, 리스크와 기회를 균형 있게 제시하여 현실적인 기대 수준을 설정한다. 신사업 진행 현황은 월간 단위로 간결하게 보고하고, 중요한 의사결정 사항은 즉시 경영진에게 에스컬레이션하여 신속한 지원을 받을 수 있도록 한다.</w:t>
      </w:r>
    </w:p>
    <w:p>
      <w:r>
        <w:br w:type="page"/>
      </w:r>
    </w:p>
    <w:p>
      <w:pPr>
        <w:pStyle w:val="Heading1"/>
      </w:pPr>
      <w:r>
        <w:rPr>
          <w:rFonts w:ascii="맑은 고딕" w:cs="맑은 고딕" w:eastAsia="맑은 고딕" w:hAnsi="맑은 고딕"/>
          <w:b/>
          <w:bCs/>
          <w:color w:val="1F3864"/>
          <w:sz w:val="32"/>
          <w:szCs w:val="32"/>
        </w:rPr>
        <w:t xml:space="preserve">6장. 자주 발생하는 이슈 &amp; 해결책</w:t>
      </w:r>
    </w:p>
    <w:p>
      <w:pPr>
        <w:pStyle w:val="Heading3"/>
      </w:pPr>
      <w:r>
        <w:rPr>
          <w:rFonts w:ascii="맑은 고딕" w:cs="맑은 고딕" w:eastAsia="맑은 고딕" w:hAnsi="맑은 고딕"/>
          <w:b/>
          <w:bCs/>
          <w:color w:val="404040"/>
          <w:sz w:val="24"/>
          <w:szCs w:val="24"/>
        </w:rPr>
        <w:t xml:space="preserve">Q. 아이디어는 많지만 실행 가능한 사업 기회를 선별하기 어려운 경우</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명확한 스크리닝 기준이 없어 아이디어를 객관적으로 평가하기 어려운 상황이다.</w:t>
      </w:r>
    </w:p>
    <w:p>
      <w:r>
        <w:rPr>
          <w:rFonts w:ascii="맑은 고딕" w:cs="맑은 고딕" w:eastAsia="맑은 고딕" w:hAnsi="맑은 고딕"/>
          <w:b/>
          <w:bCs/>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시장 규모, 수익성, 실행 가능성, 전략 적합성 4가지 기준의 스크리닝 매트릭스를 만든다.</w:t>
      </w:r>
    </w:p>
    <w:p>
      <w:pPr>
        <w:pStyle w:val="ListParagraph"/>
        <w:numPr>
          <w:ilvl w:val="0"/>
          <w:numId w:val="2"/>
        </w:numPr>
      </w:pPr>
      <w:r>
        <w:rPr>
          <w:rFonts w:ascii="맑은 고딕" w:cs="맑은 고딕" w:eastAsia="맑은 고딕" w:hAnsi="맑은 고딕"/>
          <w:sz w:val="22"/>
          <w:szCs w:val="22"/>
        </w:rPr>
        <w:t xml:space="preserve">각 기준에 0~5점 척도를 적용하여 합산 점수 기반으로 우선순위를 결정한다.</w:t>
      </w:r>
    </w:p>
    <w:p>
      <w:pPr>
        <w:pStyle w:val="ListParagraph"/>
        <w:numPr>
          <w:ilvl w:val="0"/>
          <w:numId w:val="2"/>
        </w:numPr>
      </w:pPr>
      <w:r>
        <w:rPr>
          <w:rFonts w:ascii="맑은 고딕" w:cs="맑은 고딕" w:eastAsia="맑은 고딕" w:hAnsi="맑은 고딕"/>
          <w:sz w:val="22"/>
          <w:szCs w:val="22"/>
        </w:rPr>
        <w:t xml:space="preserve">분기별 아이디어 리뷰 회의를 정례화하여 팀 전체의 집단 지성을 활용한다.</w:t>
      </w:r>
    </w:p>
    <w:p>
      <w:pPr>
        <w:pStyle w:val="ListParagraph"/>
        <w:numPr>
          <w:ilvl w:val="0"/>
          <w:numId w:val="2"/>
        </w:numPr>
      </w:pPr>
      <w:r>
        <w:rPr>
          <w:rFonts w:ascii="맑은 고딕" w:cs="맑은 고딕" w:eastAsia="맑은 고딕" w:hAnsi="맑은 고딕"/>
          <w:sz w:val="22"/>
          <w:szCs w:val="22"/>
        </w:rPr>
        <w:t xml:space="preserve">경영진의 전략 우선순위와 연계하여 최종 선정 기준을 조율한다.</w:t>
      </w:r>
    </w:p>
    <w:p>
      <w:r>
        <w:rPr>
          <w:rFonts w:ascii="맑은 고딕" w:cs="맑은 고딕" w:eastAsia="맑은 고딕" w:hAnsi="맑은 고딕"/>
          <w:sz w:val="22"/>
          <w:szCs w:val="22"/>
        </w:rPr>
        <w:t xml:space="preserve"/>
      </w:r>
    </w:p>
    <w:p>
      <w:pPr>
        <w:pStyle w:val="Heading3"/>
      </w:pPr>
      <w:r>
        <w:rPr>
          <w:rFonts w:ascii="맑은 고딕" w:cs="맑은 고딕" w:eastAsia="맑은 고딕" w:hAnsi="맑은 고딕"/>
          <w:b/>
          <w:bCs/>
          <w:color w:val="404040"/>
          <w:sz w:val="24"/>
          <w:szCs w:val="24"/>
        </w:rPr>
        <w:t xml:space="preserve">Q. 파일럿 실행 중 예산이 초과되는 경우</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파일럿 범위 변경 또는 예기치 않은 비용 발생으로 초기 예산을 초과하는 상황이다.</w:t>
      </w:r>
    </w:p>
    <w:p>
      <w:r>
        <w:rPr>
          <w:rFonts w:ascii="맑은 고딕" w:cs="맑은 고딕" w:eastAsia="맑은 고딕" w:hAnsi="맑은 고딕"/>
          <w:b/>
          <w:bCs/>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파일럿 착수 전 비용 항목을 세부화하고 예비비(10~15%)를 별도 편성한다.</w:t>
      </w:r>
    </w:p>
    <w:p>
      <w:pPr>
        <w:pStyle w:val="ListParagraph"/>
        <w:numPr>
          <w:ilvl w:val="0"/>
          <w:numId w:val="2"/>
        </w:numPr>
      </w:pPr>
      <w:r>
        <w:rPr>
          <w:rFonts w:ascii="맑은 고딕" w:cs="맑은 고딕" w:eastAsia="맑은 고딕" w:hAnsi="맑은 고딕"/>
          <w:sz w:val="22"/>
          <w:szCs w:val="22"/>
        </w:rPr>
        <w:t xml:space="preserve">주간 단위로 집행 비용을 추적하고 이상 징후 발생 시 즉시 조치한다.</w:t>
      </w:r>
    </w:p>
    <w:p>
      <w:pPr>
        <w:pStyle w:val="ListParagraph"/>
        <w:numPr>
          <w:ilvl w:val="0"/>
          <w:numId w:val="2"/>
        </w:numPr>
      </w:pPr>
      <w:r>
        <w:rPr>
          <w:rFonts w:ascii="맑은 고딕" w:cs="맑은 고딕" w:eastAsia="맑은 고딕" w:hAnsi="맑은 고딕"/>
          <w:sz w:val="22"/>
          <w:szCs w:val="22"/>
        </w:rPr>
        <w:t xml:space="preserve">예산 초과 조짐이 보이면 즉시 재무팀 및 경영진에게 보고하고 범위 조정을 협의한다.</w:t>
      </w:r>
    </w:p>
    <w:p>
      <w:pPr>
        <w:pStyle w:val="ListParagraph"/>
        <w:numPr>
          <w:ilvl w:val="0"/>
          <w:numId w:val="2"/>
        </w:numPr>
      </w:pPr>
      <w:r>
        <w:rPr>
          <w:rFonts w:ascii="맑은 고딕" w:cs="맑은 고딕" w:eastAsia="맑은 고딕" w:hAnsi="맑은 고딕"/>
          <w:sz w:val="22"/>
          <w:szCs w:val="22"/>
        </w:rPr>
        <w:t xml:space="preserve">파일럿 종료 후 예산 편차 원인을 분석하여 차기 파일럿 예산 계획에 반영한다.</w:t>
      </w:r>
    </w:p>
    <w:p>
      <w:r>
        <w:rPr>
          <w:rFonts w:ascii="맑은 고딕" w:cs="맑은 고딕" w:eastAsia="맑은 고딕" w:hAnsi="맑은 고딕"/>
          <w:sz w:val="22"/>
          <w:szCs w:val="22"/>
        </w:rPr>
        <w:t xml:space="preserve"/>
      </w:r>
    </w:p>
    <w:p>
      <w:pPr>
        <w:pStyle w:val="Heading3"/>
      </w:pPr>
      <w:r>
        <w:rPr>
          <w:rFonts w:ascii="맑은 고딕" w:cs="맑은 고딕" w:eastAsia="맑은 고딕" w:hAnsi="맑은 고딕"/>
          <w:b/>
          <w:bCs/>
          <w:color w:val="404040"/>
          <w:sz w:val="24"/>
          <w:szCs w:val="24"/>
        </w:rPr>
        <w:t xml:space="preserve">Q. 고객 인터뷰 결과가 실제 사업 가능성과 괴리가 있는 경우</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인터뷰 대상자가 실제 구매 의사 없이 긍정적 반응만 보이는 의례적 답변 현상이다.</w:t>
      </w:r>
    </w:p>
    <w:p>
      <w:r>
        <w:rPr>
          <w:rFonts w:ascii="맑은 고딕" w:cs="맑은 고딕" w:eastAsia="맑은 고딕" w:hAnsi="맑은 고딕"/>
          <w:b/>
          <w:bCs/>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인터뷰 시 실제 구매 의향 금액(WTP)을 반드시 확인하고 기록한다.</w:t>
      </w:r>
    </w:p>
    <w:p>
      <w:pPr>
        <w:pStyle w:val="ListParagraph"/>
        <w:numPr>
          <w:ilvl w:val="0"/>
          <w:numId w:val="2"/>
        </w:numPr>
      </w:pPr>
      <w:r>
        <w:rPr>
          <w:rFonts w:ascii="맑은 고딕" w:cs="맑은 고딕" w:eastAsia="맑은 고딕" w:hAnsi="맑은 고딕"/>
          <w:sz w:val="22"/>
          <w:szCs w:val="22"/>
        </w:rPr>
        <w:t xml:space="preserve">가설 검증용 MVP(최소 기능 제품)를 제작하여 실제 구매 행동을 테스트한다.</w:t>
      </w:r>
    </w:p>
    <w:p>
      <w:pPr>
        <w:pStyle w:val="ListParagraph"/>
        <w:numPr>
          <w:ilvl w:val="0"/>
          <w:numId w:val="2"/>
        </w:numPr>
      </w:pPr>
      <w:r>
        <w:rPr>
          <w:rFonts w:ascii="맑은 고딕" w:cs="맑은 고딕" w:eastAsia="맑은 고딕" w:hAnsi="맑은 고딕"/>
          <w:sz w:val="22"/>
          <w:szCs w:val="22"/>
        </w:rPr>
        <w:t xml:space="preserve">정성 인터뷰 결과를 정량 설문으로 교차 검증하여 신뢰성을 높인다.</w:t>
      </w:r>
    </w:p>
    <w:p>
      <w:pPr>
        <w:pStyle w:val="ListParagraph"/>
        <w:numPr>
          <w:ilvl w:val="0"/>
          <w:numId w:val="2"/>
        </w:numPr>
      </w:pPr>
      <w:r>
        <w:rPr>
          <w:rFonts w:ascii="맑은 고딕" w:cs="맑은 고딕" w:eastAsia="맑은 고딕" w:hAnsi="맑은 고딕"/>
          <w:sz w:val="22"/>
          <w:szCs w:val="22"/>
        </w:rPr>
        <w:t xml:space="preserve">다양한 고객 세그먼트를 포함하여 인터뷰 편향을 최소화한다.</w:t>
      </w:r>
    </w:p>
    <w:p>
      <w:r>
        <w:rPr>
          <w:rFonts w:ascii="맑은 고딕" w:cs="맑은 고딕" w:eastAsia="맑은 고딕" w:hAnsi="맑은 고딕"/>
          <w:sz w:val="22"/>
          <w:szCs w:val="22"/>
        </w:rPr>
        <w:t xml:space="preserve"/>
      </w:r>
    </w:p>
    <w:p>
      <w:pPr>
        <w:pStyle w:val="Heading3"/>
      </w:pPr>
      <w:r>
        <w:rPr>
          <w:rFonts w:ascii="맑은 고딕" w:cs="맑은 고딕" w:eastAsia="맑은 고딕" w:hAnsi="맑은 고딕"/>
          <w:b/>
          <w:bCs/>
          <w:color w:val="404040"/>
          <w:sz w:val="24"/>
          <w:szCs w:val="24"/>
        </w:rPr>
        <w:t xml:space="preserve">Q. 신사업 진행 중 경영진의 우선순위가 변경되는 경우</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외부 환경 변화 또는 경영진 교체로 신사업의 지속 추진 여부가 불투명해지는 상황이다.</w:t>
      </w:r>
    </w:p>
    <w:p>
      <w:r>
        <w:rPr>
          <w:rFonts w:ascii="맑은 고딕" w:cs="맑은 고딕" w:eastAsia="맑은 고딕" w:hAnsi="맑은 고딕"/>
          <w:b/>
          <w:bCs/>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신사업별 투자 현황, 기대 성과, 중단 비용을 항상 최신화하여 의사결정 근거를 준비한다.</w:t>
      </w:r>
    </w:p>
    <w:p>
      <w:pPr>
        <w:pStyle w:val="ListParagraph"/>
        <w:numPr>
          <w:ilvl w:val="0"/>
          <w:numId w:val="2"/>
        </w:numPr>
      </w:pPr>
      <w:r>
        <w:rPr>
          <w:rFonts w:ascii="맑은 고딕" w:cs="맑은 고딕" w:eastAsia="맑은 고딕" w:hAnsi="맑은 고딕"/>
          <w:sz w:val="22"/>
          <w:szCs w:val="22"/>
        </w:rPr>
        <w:t xml:space="preserve">경영진 변경 시 신임 경영진에게 신사업 포트폴리오 현황을 신속하게 브리핑한다.</w:t>
      </w:r>
    </w:p>
    <w:p>
      <w:pPr>
        <w:pStyle w:val="ListParagraph"/>
        <w:numPr>
          <w:ilvl w:val="0"/>
          <w:numId w:val="2"/>
        </w:numPr>
      </w:pPr>
      <w:r>
        <w:rPr>
          <w:rFonts w:ascii="맑은 고딕" w:cs="맑은 고딕" w:eastAsia="맑은 고딕" w:hAnsi="맑은 고딕"/>
          <w:sz w:val="22"/>
          <w:szCs w:val="22"/>
        </w:rPr>
        <w:t xml:space="preserve">핵심 마일스톤 달성 전까지는 최소 유지 수준의 자원을 확보하여 모멘텀을 유지한다.</w:t>
      </w:r>
    </w:p>
    <w:p>
      <w:pPr>
        <w:pStyle w:val="ListParagraph"/>
        <w:numPr>
          <w:ilvl w:val="0"/>
          <w:numId w:val="2"/>
        </w:numPr>
      </w:pPr>
      <w:r>
        <w:rPr>
          <w:rFonts w:ascii="맑은 고딕" w:cs="맑은 고딕" w:eastAsia="맑은 고딕" w:hAnsi="맑은 고딕"/>
          <w:sz w:val="22"/>
          <w:szCs w:val="22"/>
        </w:rPr>
        <w:t xml:space="preserve">신사업의 전략적 필요성을 지속적으로 데이터로 증명하는 보고를 유지한다.</w:t>
      </w:r>
    </w:p>
    <w:p>
      <w:r>
        <w:rPr>
          <w:rFonts w:ascii="맑은 고딕" w:cs="맑은 고딕" w:eastAsia="맑은 고딕" w:hAnsi="맑은 고딕"/>
          <w:sz w:val="22"/>
          <w:szCs w:val="22"/>
        </w:rPr>
        <w:t xml:space="preserve"/>
      </w:r>
    </w:p>
    <w:p>
      <w:pPr>
        <w:pStyle w:val="Heading3"/>
      </w:pPr>
      <w:r>
        <w:rPr>
          <w:rFonts w:ascii="맑은 고딕" w:cs="맑은 고딕" w:eastAsia="맑은 고딕" w:hAnsi="맑은 고딕"/>
          <w:b/>
          <w:bCs/>
          <w:color w:val="404040"/>
          <w:sz w:val="24"/>
          <w:szCs w:val="24"/>
        </w:rPr>
        <w:t xml:space="preserve">Q. 파트너사와 협업 중 역할 분담 이슈가 발생하는 경우</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초기 역할 정의가 모호하거나 기대치 차이로 파트너사와 갈등이 발생하는 상황이다.</w:t>
      </w:r>
    </w:p>
    <w:p>
      <w:r>
        <w:rPr>
          <w:rFonts w:ascii="맑은 고딕" w:cs="맑은 고딕" w:eastAsia="맑은 고딕" w:hAnsi="맑은 고딕"/>
          <w:b/>
          <w:bCs/>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파트너십 계약 전 역할, 책임, 기여 범위를 RACI 매트릭스로 명확히 정의한다.</w:t>
      </w:r>
    </w:p>
    <w:p>
      <w:pPr>
        <w:pStyle w:val="ListParagraph"/>
        <w:numPr>
          <w:ilvl w:val="0"/>
          <w:numId w:val="2"/>
        </w:numPr>
      </w:pPr>
      <w:r>
        <w:rPr>
          <w:rFonts w:ascii="맑은 고딕" w:cs="맑은 고딕" w:eastAsia="맑은 고딕" w:hAnsi="맑은 고딕"/>
          <w:sz w:val="22"/>
          <w:szCs w:val="22"/>
        </w:rPr>
        <w:t xml:space="preserve">정기 파트너 미팅(격주 이상)을 운영하여 이슈를 조기에 발굴하고 해결한다.</w:t>
      </w:r>
    </w:p>
    <w:p>
      <w:pPr>
        <w:pStyle w:val="ListParagraph"/>
        <w:numPr>
          <w:ilvl w:val="0"/>
          <w:numId w:val="2"/>
        </w:numPr>
      </w:pPr>
      <w:r>
        <w:rPr>
          <w:rFonts w:ascii="맑은 고딕" w:cs="맑은 고딕" w:eastAsia="맑은 고딕" w:hAnsi="맑은 고딕"/>
          <w:sz w:val="22"/>
          <w:szCs w:val="22"/>
        </w:rPr>
        <w:t xml:space="preserve">역할 변경이 필요한 경우 계약 변경 절차를 공식적으로 진행하여 구두 합의를 지양한다.</w:t>
      </w:r>
    </w:p>
    <w:p>
      <w:pPr>
        <w:pStyle w:val="ListParagraph"/>
        <w:numPr>
          <w:ilvl w:val="0"/>
          <w:numId w:val="2"/>
        </w:numPr>
      </w:pPr>
      <w:r>
        <w:rPr>
          <w:rFonts w:ascii="맑은 고딕" w:cs="맑은 고딕" w:eastAsia="맑은 고딕" w:hAnsi="맑은 고딕"/>
          <w:sz w:val="22"/>
          <w:szCs w:val="22"/>
        </w:rPr>
        <w:t xml:space="preserve">갈등 발생 시 법무팀의 중재를 요청하고 계약서 기준으로 해결 방향을 설정한다.</w:t>
      </w:r>
    </w:p>
    <w:p>
      <w:r>
        <w:rPr>
          <w:rFonts w:ascii="맑은 고딕" w:cs="맑은 고딕" w:eastAsia="맑은 고딕" w:hAnsi="맑은 고딕"/>
          <w:sz w:val="22"/>
          <w:szCs w:val="22"/>
        </w:rPr>
        <w:t xml:space="preserve"/>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600" w:hanging="300"/>
      </w:pPr>
    </w:lvl>
  </w:abstractNum>
  <w:abstractNum w:abstractNumId="3" w15:restartNumberingAfterBreak="0">
    <w:multiLevelType w:val="hybridMultilevel"/>
    <w:lvl w:ilvl="0" w15:tentative="1">
      <w:start w:val="1"/>
      <w:numFmt w:val="bullet"/>
      <w:lvlText w:val="•"/>
      <w:lvlJc w:val="left"/>
      <w:pPr>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맑은 고딕" w:cs="맑은 고딕" w:eastAsia="맑은 고딕" w:hAnsi="맑은 고딕"/>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맑은 고딕" w:cs="맑은 고딕" w:eastAsia="맑은 고딕" w:hAnsi="맑은 고딕"/>
      <w:b/>
      <w:bCs/>
      <w:color w:val="1F3864"/>
      <w:sz w:val="32"/>
      <w:szCs w:val="32"/>
    </w:rPr>
  </w:style>
  <w:style w:type="paragraph" w:styleId="Heading2">
    <w:name w:val="Heading 2"/>
    <w:basedOn w:val="Normal"/>
    <w:next w:val="Normal"/>
    <w:qFormat/>
    <w:pPr>
      <w:spacing w:after="100" w:before="200"/>
      <w:outlineLvl w:val="1"/>
    </w:pPr>
    <w:rPr>
      <w:rFonts w:ascii="맑은 고딕" w:cs="맑은 고딕" w:eastAsia="맑은 고딕" w:hAnsi="맑은 고딕"/>
      <w:b/>
      <w:bCs/>
      <w:color w:val="2E75B6"/>
      <w:sz w:val="28"/>
      <w:szCs w:val="28"/>
    </w:rPr>
  </w:style>
  <w:style w:type="paragraph" w:styleId="Heading3">
    <w:name w:val="Heading 3"/>
    <w:basedOn w:val="Normal"/>
    <w:next w:val="Normal"/>
    <w:qFormat/>
    <w:pPr>
      <w:spacing w:after="80" w:before="160"/>
      <w:outlineLvl w:val="2"/>
    </w:pPr>
    <w:rPr>
      <w:rFonts w:ascii="맑은 고딕" w:cs="맑은 고딕" w:eastAsia="맑은 고딕" w:hAnsi="맑은 고딕"/>
      <w:b/>
      <w:bCs/>
      <w:color w:val="40404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2026-05-17T10:51:24.056Z</dcterms:created>
  <dcterms:modified xsi:type="dcterms:W3CDTF">2026-05-17T10:51:24.056Z</dcterms:modified>
</cp:coreProperties>
</file>

<file path=docProps/custom.xml><?xml version="1.0" encoding="utf-8"?>
<Properties xmlns="http://schemas.openxmlformats.org/officeDocument/2006/custom-properties" xmlns:vt="http://schemas.openxmlformats.org/officeDocument/2006/docPropsVTypes"/>
</file>