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pPr>
        <w:spacing w:after="200" w:before="400"/>
        <w:jc w:val="center"/>
      </w:pPr>
      <w:r>
        <w:rPr>
          <w:rFonts w:ascii="맑은 고딕" w:cs="맑은 고딕" w:eastAsia="맑은 고딕" w:hAnsi="맑은 고딕"/>
          <w:b/>
          <w:bCs/>
          <w:color w:val="1F3864"/>
          <w:sz w:val="48"/>
          <w:szCs w:val="48"/>
        </w:rPr>
        <w:t xml:space="preserve">해외 파트너/채널 관리 업무 매뉴얼</w:t>
      </w:r>
    </w:p>
    <w:p>
      <w:pPr>
        <w:spacing w:after="100" w:before="100"/>
        <w:jc w:val="center"/>
      </w:pPr>
      <w:r>
        <w:rPr>
          <w:rFonts w:ascii="맑은 고딕" w:cs="맑은 고딕" w:eastAsia="맑은 고딕" w:hAnsi="맑은 고딕"/>
          <w:color w:val="2E75B6"/>
          <w:sz w:val="28"/>
          <w:szCs w:val="28"/>
        </w:rPr>
        <w:t xml:space="preserve">B2C 중소기업 해외영업팀 업무 매뉴얼</w:t>
      </w:r>
    </w:p>
    <w:p>
      <w:pPr>
        <w:spacing w:after="400" w:before="100"/>
        <w:jc w:val="center"/>
      </w:pPr>
      <w:r>
        <w:rPr>
          <w:rFonts w:ascii="맑은 고딕" w:cs="맑은 고딕" w:eastAsia="맑은 고딕" w:hAnsi="맑은 고딕"/>
          <w:color w:val="404040"/>
          <w:sz w:val="24"/>
          <w:szCs w:val="24"/>
        </w:rPr>
        <w:t xml:space="preserve">버전: v1.0 | 2025년</w:t>
      </w:r>
    </w:p>
    <w:p>
      <w:r>
        <w:br w:type="page"/>
      </w:r>
    </w:p>
    <w:p>
      <w:pPr>
        <w:pStyle w:val="Heading1"/>
        <w:spacing w:after="120" w:before="240"/>
      </w:pPr>
      <w:r>
        <w:rPr>
          <w:rFonts w:ascii="맑은 고딕" w:cs="맑은 고딕" w:eastAsia="맑은 고딕" w:hAnsi="맑은 고딕"/>
          <w:b/>
          <w:bCs/>
          <w:color w:val="1F3864"/>
          <w:sz w:val="32"/>
          <w:szCs w:val="32"/>
        </w:rPr>
        <w:t xml:space="preserve">1장. 직무 개요</w:t>
      </w:r>
    </w:p>
    <w:p>
      <w:pPr>
        <w:pStyle w:val="Heading2"/>
        <w:spacing w:after="100" w:before="200"/>
      </w:pPr>
      <w:r>
        <w:rPr>
          <w:rFonts w:ascii="맑은 고딕" w:cs="맑은 고딕" w:eastAsia="맑은 고딕" w:hAnsi="맑은 고딕"/>
          <w:b/>
          <w:bCs/>
          <w:color w:val="2E75B6"/>
          <w:sz w:val="28"/>
          <w:szCs w:val="28"/>
        </w:rPr>
        <w:t xml:space="preserve">1.1 직무 정의</w:t>
      </w:r>
    </w:p>
    <w:p>
      <w:pPr>
        <w:spacing w:after="80" w:before="80"/>
      </w:pPr>
      <w:r>
        <w:rPr>
          <w:rFonts w:ascii="맑은 고딕" w:cs="맑은 고딕" w:eastAsia="맑은 고딕" w:hAnsi="맑은 고딕"/>
          <w:sz w:val="22"/>
          <w:szCs w:val="22"/>
        </w:rPr>
        <w:t xml:space="preserve">해외 파트너/채널 관리 담당자는 해외 유통 파트너(디스트리뷰터·에이전트·현지 리셀러)를 발굴·계약하고, Amazon·라쿠텐·Lazada 등 온라인 플랫폼 채널을 최적화하며, 공동 마케팅을 기획·실행해 채널별 매출을 극대화하는 직무입니다. 단순한 파트너 관리를 넘어, 각 채널의 특성에 맞는 현지화 전략을 적용하고 파트너의 성장을 함께 도모하는 채널 성장 파트너 역할을 수행합니다.</w:t>
      </w:r>
    </w:p>
    <w:p>
      <w:pPr>
        <w:spacing w:after="80" w:before="80"/>
      </w:pPr>
      <w:r>
        <w:rPr>
          <w:rFonts w:ascii="맑은 고딕" w:cs="맑은 고딕" w:eastAsia="맑은 고딕" w:hAnsi="맑은 고딕"/>
          <w:sz w:val="22"/>
          <w:szCs w:val="22"/>
        </w:rPr>
        <w:t xml:space="preserve">이 직무는 B2B 파트너십과 B2C 플랫폼 운영을 동시에 담당하기 때문에 협상력·관계 관리·데이터 분석·현지화 감각을 균형 있게 갖춰야 합니다. 파트너와의 신뢰 관계를 기반으로 장기적인 채널 생태계를 구축하고, 채널 갈등을 예방하는 정책을 수립하는 것이 핵심 가치입니다.</w:t>
      </w:r>
    </w:p>
    <w:p>
      <w:r>
        <w:rPr>
          <w:rFonts w:ascii="맑은 고딕" w:cs="맑은 고딕" w:eastAsia="맑은 고딕" w:hAnsi="맑은 고딕"/>
          <w:sz w:val="22"/>
          <w:szCs w:val="22"/>
        </w:rPr>
        <w:t xml:space="preserve"/>
      </w:r>
    </w:p>
    <w:p>
      <w:pPr>
        <w:pStyle w:val="Heading2"/>
        <w:spacing w:after="100" w:before="200"/>
      </w:pPr>
      <w:r>
        <w:rPr>
          <w:rFonts w:ascii="맑은 고딕" w:cs="맑은 고딕" w:eastAsia="맑은 고딕" w:hAnsi="맑은 고딕"/>
          <w:b/>
          <w:bCs/>
          <w:color w:val="2E75B6"/>
          <w:sz w:val="28"/>
          <w:szCs w:val="28"/>
        </w:rPr>
        <w:t xml:space="preserve">1.2 협업 구조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4700"/>
        <w:gridCol w:w="2138"/>
      </w:tblGrid>
      <w:tr>
        <w:trPr>
          <w:tblHeader/>
        </w:trPr>
        <w:tc>
          <w:tcPr>
            <w:tcW w:type="dxa" w:w="2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부서</w:t>
            </w:r>
          </w:p>
        </w:tc>
        <w:tc>
          <w:tcPr>
            <w:tcW w:type="dxa" w:w="47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내용</w:t>
            </w:r>
          </w:p>
        </w:tc>
        <w:tc>
          <w:tcPr>
            <w:tcW w:type="dxa" w:w="21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주기</w:t>
            </w:r>
          </w:p>
        </w:tc>
      </w:tr>
      <w:tr>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수출 영업(지역담당)</w:t>
            </w:r>
          </w:p>
        </w:tc>
        <w:tc>
          <w:tcPr>
            <w:tcW w:type="dxa" w:w="4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 계약 완료 후 인수인계 및 공동 관리</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월간</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해외영업 기획/전략</w:t>
            </w:r>
          </w:p>
        </w:tc>
        <w:tc>
          <w:tcPr>
            <w:tcW w:type="dxa" w:w="4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채널 전략 방향 수령 및 파트너 기준 협의</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월간</w:t>
            </w:r>
          </w:p>
        </w:tc>
      </w:tr>
      <w:tr>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무역/통관 관리</w:t>
            </w:r>
          </w:p>
        </w:tc>
        <w:tc>
          <w:tcPr>
            <w:tcW w:type="dxa" w:w="4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파트너사 통관 서류 및 선적 지원</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건별</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마케팅팀</w:t>
            </w:r>
          </w:p>
        </w:tc>
        <w:tc>
          <w:tcPr>
            <w:tcW w:type="dxa" w:w="4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현지 공동 마케팅 캠페인 기획 협의</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분기</w:t>
            </w:r>
          </w:p>
        </w:tc>
      </w:tr>
      <w:tr>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해외 CS/클레임 처리</w:t>
            </w:r>
          </w:p>
        </w:tc>
        <w:tc>
          <w:tcPr>
            <w:tcW w:type="dxa" w:w="47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 경유 클레임 접수 및 처리 협력</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건별</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재무팀</w:t>
            </w:r>
          </w:p>
        </w:tc>
        <w:tc>
          <w:tcPr>
            <w:tcW w:type="dxa" w:w="4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 대금 정산 및 인센티브 관리</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월간</w:t>
            </w:r>
          </w:p>
        </w:tc>
      </w:tr>
    </w:tbl>
    <w:p>
      <w:r>
        <w:rPr>
          <w:rFonts w:ascii="맑은 고딕" w:cs="맑은 고딕" w:eastAsia="맑은 고딕" w:hAnsi="맑은 고딕"/>
          <w:sz w:val="22"/>
          <w:szCs w:val="22"/>
        </w:rPr>
        <w:t xml:space="preserve"/>
      </w:r>
    </w:p>
    <w:p>
      <w:pPr>
        <w:pStyle w:val="Heading2"/>
        <w:spacing w:after="100" w:before="200"/>
      </w:pPr>
      <w:r>
        <w:rPr>
          <w:rFonts w:ascii="맑은 고딕" w:cs="맑은 고딕" w:eastAsia="맑은 고딕" w:hAnsi="맑은 고딕"/>
          <w:b/>
          <w:bCs/>
          <w:color w:val="2E75B6"/>
          <w:sz w:val="28"/>
          <w:szCs w:val="28"/>
        </w:rPr>
        <w:t xml:space="preserve">1.3 필요 역량</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4900"/>
        <w:gridCol w:w="2238"/>
      </w:tblGrid>
      <w:tr>
        <w:trPr>
          <w:tblHeader/>
        </w:trPr>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역량</w:t>
            </w:r>
          </w:p>
        </w:tc>
        <w:tc>
          <w:tcPr>
            <w:tcW w:type="dxa" w:w="49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설명</w:t>
            </w:r>
          </w:p>
        </w:tc>
        <w:tc>
          <w:tcPr>
            <w:tcW w:type="dxa" w:w="22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중요도</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관계 관리</w:t>
            </w:r>
          </w:p>
        </w:tc>
        <w:tc>
          <w:tcPr>
            <w:tcW w:type="dxa" w:w="49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파트너와 장기적 신뢰 관계를 구축하는 능력</w:t>
            </w:r>
          </w:p>
        </w:tc>
        <w:tc>
          <w:tcPr>
            <w:tcW w:type="dxa" w:w="22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상</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협상력</w:t>
            </w:r>
          </w:p>
        </w:tc>
        <w:tc>
          <w:tcPr>
            <w:tcW w:type="dxa" w:w="4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계약 조건·마진·목표 협상 실무 경험</w:t>
            </w:r>
          </w:p>
        </w:tc>
        <w:tc>
          <w:tcPr>
            <w:tcW w:type="dxa" w:w="22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상</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채널 운영 지식</w:t>
            </w:r>
          </w:p>
        </w:tc>
        <w:tc>
          <w:tcPr>
            <w:tcW w:type="dxa" w:w="49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Amazon·Lazada·오프라인 유통 운영 경험</w:t>
            </w:r>
          </w:p>
        </w:tc>
        <w:tc>
          <w:tcPr>
            <w:tcW w:type="dxa" w:w="22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중</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현지화 이해</w:t>
            </w:r>
          </w:p>
        </w:tc>
        <w:tc>
          <w:tcPr>
            <w:tcW w:type="dxa" w:w="4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현지 관습·언어·소비자 문화에 대한 이해</w:t>
            </w:r>
          </w:p>
        </w:tc>
        <w:tc>
          <w:tcPr>
            <w:tcW w:type="dxa" w:w="22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중</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데이터 분석</w:t>
            </w:r>
          </w:p>
        </w:tc>
        <w:tc>
          <w:tcPr>
            <w:tcW w:type="dxa" w:w="49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파트너별 성과 데이터 분석 및 인사이트 도출</w:t>
            </w:r>
          </w:p>
        </w:tc>
        <w:tc>
          <w:tcPr>
            <w:tcW w:type="dxa" w:w="22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중</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마케팅 감각</w:t>
            </w:r>
          </w:p>
        </w:tc>
        <w:tc>
          <w:tcPr>
            <w:tcW w:type="dxa" w:w="4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공동 프로모션 기획 및 실행 능력</w:t>
            </w:r>
          </w:p>
        </w:tc>
        <w:tc>
          <w:tcPr>
            <w:tcW w:type="dxa" w:w="22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중</w:t>
            </w:r>
          </w:p>
        </w:tc>
      </w:tr>
    </w:tbl>
    <w:p>
      <w:r>
        <w:rPr>
          <w:rFonts w:ascii="맑은 고딕" w:cs="맑은 고딕" w:eastAsia="맑은 고딕" w:hAnsi="맑은 고딕"/>
          <w:sz w:val="22"/>
          <w:szCs w:val="22"/>
        </w:rPr>
        <w:t xml:space="preserve"/>
      </w:r>
    </w:p>
    <w:p>
      <w:r>
        <w:br w:type="page"/>
      </w:r>
    </w:p>
    <w:p>
      <w:pPr>
        <w:pStyle w:val="Heading1"/>
        <w:spacing w:after="120" w:before="240"/>
      </w:pPr>
      <w:r>
        <w:rPr>
          <w:rFonts w:ascii="맑은 고딕" w:cs="맑은 고딕" w:eastAsia="맑은 고딕" w:hAnsi="맑은 고딕"/>
          <w:b/>
          <w:bCs/>
          <w:color w:val="1F3864"/>
          <w:sz w:val="32"/>
          <w:szCs w:val="32"/>
        </w:rPr>
        <w:t xml:space="preserve">2장. 핵심 업무별 상세 프로세스</w:t>
      </w:r>
    </w:p>
    <w:p>
      <w:pPr>
        <w:pStyle w:val="Heading2"/>
        <w:spacing w:after="100" w:before="200"/>
      </w:pPr>
      <w:r>
        <w:rPr>
          <w:rFonts w:ascii="맑은 고딕" w:cs="맑은 고딕" w:eastAsia="맑은 고딕" w:hAnsi="맑은 고딕"/>
          <w:b/>
          <w:bCs/>
          <w:color w:val="2E75B6"/>
          <w:sz w:val="28"/>
          <w:szCs w:val="28"/>
        </w:rPr>
        <w:t xml:space="preserve">2.1 해외 유통 파트너 발굴 및 계약</w:t>
      </w:r>
    </w:p>
    <w:p>
      <w:pPr>
        <w:spacing w:after="60" w:before="120"/>
      </w:pPr>
      <w:r>
        <w:rPr>
          <w:rFonts w:ascii="맑은 고딕" w:cs="맑은 고딕" w:eastAsia="맑은 고딕" w:hAnsi="맑은 고딕"/>
          <w:b/>
          <w:bCs/>
          <w:sz w:val="22"/>
          <w:szCs w:val="22"/>
        </w:rPr>
        <w:t xml:space="preserve">■ 업무 프로세스</w:t>
      </w:r>
    </w:p>
    <w:p>
      <w:pPr>
        <w:pStyle w:val="ListParagraph"/>
        <w:numPr>
          <w:ilvl w:val="0"/>
          <w:numId w:val="2"/>
        </w:numPr>
        <w:spacing w:after="40" w:before="40"/>
      </w:pPr>
      <w:r>
        <w:rPr>
          <w:rFonts w:ascii="맑은 고딕" w:cs="맑은 고딕" w:eastAsia="맑은 고딕" w:hAnsi="맑은 고딕"/>
          <w:sz w:val="22"/>
          <w:szCs w:val="22"/>
        </w:rPr>
        <w:t xml:space="preserve">목표 시장 내 유통 파트너 후보 발굴: KOTRA 바이어 매칭·무역 전시회·현지 업계 협회 활용</w:t>
      </w:r>
    </w:p>
    <w:p>
      <w:pPr>
        <w:pStyle w:val="ListParagraph"/>
        <w:numPr>
          <w:ilvl w:val="0"/>
          <w:numId w:val="2"/>
        </w:numPr>
        <w:spacing w:after="40" w:before="40"/>
      </w:pPr>
      <w:r>
        <w:rPr>
          <w:rFonts w:ascii="맑은 고딕" w:cs="맑은 고딕" w:eastAsia="맑은 고딕" w:hAnsi="맑은 고딕"/>
          <w:sz w:val="22"/>
          <w:szCs w:val="22"/>
        </w:rPr>
        <w:t xml:space="preserve">파트너 후보 심사: 재무 건전성·유통 네트워크·현지 브랜드 운영 이력·규모 평가</w:t>
      </w:r>
    </w:p>
    <w:p>
      <w:pPr>
        <w:pStyle w:val="ListParagraph"/>
        <w:numPr>
          <w:ilvl w:val="0"/>
          <w:numId w:val="2"/>
        </w:numPr>
        <w:spacing w:after="40" w:before="40"/>
      </w:pPr>
      <w:r>
        <w:rPr>
          <w:rFonts w:ascii="맑은 고딕" w:cs="맑은 고딕" w:eastAsia="맑은 고딕" w:hAnsi="맑은 고딕"/>
          <w:sz w:val="22"/>
          <w:szCs w:val="22"/>
        </w:rPr>
        <w:t xml:space="preserve">파트너 후보와 첫 미팅: 사업 방향 공유, 자사 제품 소개, 기대 역할 협의</w:t>
      </w:r>
    </w:p>
    <w:p>
      <w:pPr>
        <w:pStyle w:val="ListParagraph"/>
        <w:numPr>
          <w:ilvl w:val="0"/>
          <w:numId w:val="2"/>
        </w:numPr>
        <w:spacing w:after="40" w:before="40"/>
      </w:pPr>
      <w:r>
        <w:rPr>
          <w:rFonts w:ascii="맑은 고딕" w:cs="맑은 고딕" w:eastAsia="맑은 고딕" w:hAnsi="맑은 고딕"/>
          <w:sz w:val="22"/>
          <w:szCs w:val="22"/>
        </w:rPr>
        <w:t xml:space="preserve">파트너십 조건 협상: 독점 여부·최소 발주량(MOQ)·마진율·계약 기간·목표 매출 합의</w:t>
      </w:r>
    </w:p>
    <w:p>
      <w:pPr>
        <w:pStyle w:val="ListParagraph"/>
        <w:numPr>
          <w:ilvl w:val="0"/>
          <w:numId w:val="2"/>
        </w:numPr>
        <w:spacing w:after="40" w:before="40"/>
      </w:pPr>
      <w:r>
        <w:rPr>
          <w:rFonts w:ascii="맑은 고딕" w:cs="맑은 고딕" w:eastAsia="맑은 고딕" w:hAnsi="맑은 고딕"/>
          <w:sz w:val="22"/>
          <w:szCs w:val="22"/>
        </w:rPr>
        <w:t xml:space="preserve">파트너 계약서 작성(한·영 병기) → 법무 검토 → 쌍방 서명 완료</w:t>
      </w:r>
    </w:p>
    <w:p>
      <w:pPr>
        <w:pStyle w:val="ListParagraph"/>
        <w:numPr>
          <w:ilvl w:val="0"/>
          <w:numId w:val="2"/>
        </w:numPr>
        <w:spacing w:after="40" w:before="40"/>
      </w:pPr>
      <w:r>
        <w:rPr>
          <w:rFonts w:ascii="맑은 고딕" w:cs="맑은 고딕" w:eastAsia="맑은 고딕" w:hAnsi="맑은 고딕"/>
          <w:sz w:val="22"/>
          <w:szCs w:val="22"/>
        </w:rPr>
        <w:t xml:space="preserve">계약 완료 후 CRM 등록 및 온보딩 프로세스 시작</w:t>
      </w:r>
    </w:p>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핵심 체계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4000"/>
        <w:gridCol w:w="1500"/>
        <w:gridCol w:w="1638"/>
      </w:tblGrid>
      <w:tr>
        <w:trPr>
          <w:tblHeader/>
        </w:trPr>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심사 항목</w:t>
            </w:r>
          </w:p>
        </w:tc>
        <w:tc>
          <w:tcPr>
            <w:tcW w:type="dxa" w:w="4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세부 기준</w:t>
            </w:r>
          </w:p>
        </w:tc>
        <w:tc>
          <w:tcPr>
            <w:tcW w:type="dxa" w:w="1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가중치</w:t>
            </w:r>
          </w:p>
        </w:tc>
        <w:tc>
          <w:tcPr>
            <w:tcW w:type="dxa" w:w="16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확인 방법</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재무 건전성</w:t>
            </w:r>
          </w:p>
        </w:tc>
        <w:tc>
          <w:tcPr>
            <w:tcW w:type="dxa" w:w="4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최근 3년 재무제표 흑자 여부</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30%</w:t>
            </w:r>
          </w:p>
        </w:tc>
        <w:tc>
          <w:tcPr>
            <w:tcW w:type="dxa" w:w="1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재무제표 요청</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유통 네트워크</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현지 오프라인·온라인 채널 보유 수</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25%</w:t>
            </w:r>
          </w:p>
        </w:tc>
        <w:tc>
          <w:tcPr>
            <w:tcW w:type="dxa" w:w="1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포트폴리오 확인</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브랜드 관리 능력</w:t>
            </w:r>
          </w:p>
        </w:tc>
        <w:tc>
          <w:tcPr>
            <w:tcW w:type="dxa" w:w="4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기존 취급 브랜드 평판 및 유사 카테고리 경험</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20%</w:t>
            </w:r>
          </w:p>
        </w:tc>
        <w:tc>
          <w:tcPr>
            <w:tcW w:type="dxa" w:w="1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레퍼런스 체크</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현지 규제 이해</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수입·통관·인증 관련 경험 보유</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15%</w:t>
            </w:r>
          </w:p>
        </w:tc>
        <w:tc>
          <w:tcPr>
            <w:tcW w:type="dxa" w:w="1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인터뷰</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성장 의지</w:t>
            </w:r>
          </w:p>
        </w:tc>
        <w:tc>
          <w:tcPr>
            <w:tcW w:type="dxa" w:w="4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자사 브랜드에 대한 투자 의지 및 마케팅 역량</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10%</w:t>
            </w:r>
          </w:p>
        </w:tc>
        <w:tc>
          <w:tcPr>
            <w:tcW w:type="dxa" w:w="1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사업 계획서 검토</w:t>
            </w:r>
          </w:p>
        </w:tc>
      </w:tr>
    </w:tbl>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rPr>
          <w:tblHeader/>
        </w:trPr>
        <w:tc>
          <w:tcPr>
            <w:tcW w:type="dxa" w:w="58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목표 시장 파트너 후보 3개 이상 발굴</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 후보 재무 건전성 확인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유통 네트워크·취급 브랜드 포트폴리오 검토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레퍼런스 체크 완료(기존 거래처 확인)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첫 미팅 일정 및 어젠다 준비</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파트너십 조건(독점·MOQ·마진) 협상</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 계약서 초안 작성</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법무 계약서 검토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쌍방 계약서 서명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CRM 파트너 정보 등록</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온보딩 일정 및 담당자 배정</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계약 완료 내부 팀 공유</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r>
        <w:br w:type="page"/>
      </w:r>
    </w:p>
    <w:p>
      <w:pPr>
        <w:pStyle w:val="Heading2"/>
        <w:spacing w:after="100" w:before="200"/>
      </w:pPr>
      <w:r>
        <w:rPr>
          <w:rFonts w:ascii="맑은 고딕" w:cs="맑은 고딕" w:eastAsia="맑은 고딕" w:hAnsi="맑은 고딕"/>
          <w:b/>
          <w:bCs/>
          <w:color w:val="2E75B6"/>
          <w:sz w:val="28"/>
          <w:szCs w:val="28"/>
        </w:rPr>
        <w:t xml:space="preserve">2.2 파트너 온보딩 및 역량 강화</w:t>
      </w:r>
    </w:p>
    <w:p>
      <w:pPr>
        <w:spacing w:after="60" w:before="120"/>
      </w:pPr>
      <w:r>
        <w:rPr>
          <w:rFonts w:ascii="맑은 고딕" w:cs="맑은 고딕" w:eastAsia="맑은 고딕" w:hAnsi="맑은 고딕"/>
          <w:b/>
          <w:bCs/>
          <w:sz w:val="22"/>
          <w:szCs w:val="22"/>
        </w:rPr>
        <w:t xml:space="preserve">■ 업무 프로세스</w:t>
      </w:r>
    </w:p>
    <w:p>
      <w:pPr>
        <w:pStyle w:val="ListParagraph"/>
        <w:numPr>
          <w:ilvl w:val="0"/>
          <w:numId w:val="2"/>
        </w:numPr>
        <w:spacing w:after="40" w:before="40"/>
      </w:pPr>
      <w:r>
        <w:rPr>
          <w:rFonts w:ascii="맑은 고딕" w:cs="맑은 고딕" w:eastAsia="맑은 고딕" w:hAnsi="맑은 고딕"/>
          <w:sz w:val="22"/>
          <w:szCs w:val="22"/>
        </w:rPr>
        <w:t xml:space="preserve">온보딩 킥오프 미팅: 파트너사 핵심 담당자와 계약 조건·기대 역할·소통 채널 재확인</w:t>
      </w:r>
    </w:p>
    <w:p>
      <w:pPr>
        <w:pStyle w:val="ListParagraph"/>
        <w:numPr>
          <w:ilvl w:val="0"/>
          <w:numId w:val="2"/>
        </w:numPr>
        <w:spacing w:after="40" w:before="40"/>
      </w:pPr>
      <w:r>
        <w:rPr>
          <w:rFonts w:ascii="맑은 고딕" w:cs="맑은 고딕" w:eastAsia="맑은 고딕" w:hAnsi="맑은 고딕"/>
          <w:sz w:val="22"/>
          <w:szCs w:val="22"/>
        </w:rPr>
        <w:t xml:space="preserve">제품 교육: 제품 특성·USP·경쟁사 대비 우위·FAQ 영문 자료 제공 및 교육 세션 진행</w:t>
      </w:r>
    </w:p>
    <w:p>
      <w:pPr>
        <w:pStyle w:val="ListParagraph"/>
        <w:numPr>
          <w:ilvl w:val="0"/>
          <w:numId w:val="2"/>
        </w:numPr>
        <w:spacing w:after="40" w:before="40"/>
      </w:pPr>
      <w:r>
        <w:rPr>
          <w:rFonts w:ascii="맑은 고딕" w:cs="맑은 고딕" w:eastAsia="맑은 고딕" w:hAnsi="맑은 고딕"/>
          <w:sz w:val="22"/>
          <w:szCs w:val="22"/>
        </w:rPr>
        <w:t xml:space="preserve">판매 지원 자료 일체 제공: 제품 카탈로그·가격표·브랜드 가이드라인·디지털 소재 전달</w:t>
      </w:r>
    </w:p>
    <w:p>
      <w:pPr>
        <w:pStyle w:val="ListParagraph"/>
        <w:numPr>
          <w:ilvl w:val="0"/>
          <w:numId w:val="2"/>
        </w:numPr>
        <w:spacing w:after="40" w:before="40"/>
      </w:pPr>
      <w:r>
        <w:rPr>
          <w:rFonts w:ascii="맑은 고딕" w:cs="맑은 고딕" w:eastAsia="맑은 고딕" w:hAnsi="맑은 고딕"/>
          <w:sz w:val="22"/>
          <w:szCs w:val="22"/>
        </w:rPr>
        <w:t xml:space="preserve">CRM·주문 시스템·보고 양식 사용법 안내 및 첫 주문 프로세스 실습</w:t>
      </w:r>
    </w:p>
    <w:p>
      <w:pPr>
        <w:pStyle w:val="ListParagraph"/>
        <w:numPr>
          <w:ilvl w:val="0"/>
          <w:numId w:val="2"/>
        </w:numPr>
        <w:spacing w:after="40" w:before="40"/>
      </w:pPr>
      <w:r>
        <w:rPr>
          <w:rFonts w:ascii="맑은 고딕" w:cs="맑은 고딕" w:eastAsia="맑은 고딕" w:hAnsi="맑은 고딕"/>
          <w:sz w:val="22"/>
          <w:szCs w:val="22"/>
        </w:rPr>
        <w:t xml:space="preserve">첫 3개월 집중 지원 기간 설정: 주간 체크인 미팅으로 초기 이슈 즉시 해결</w:t>
      </w:r>
    </w:p>
    <w:p>
      <w:pPr>
        <w:pStyle w:val="ListParagraph"/>
        <w:numPr>
          <w:ilvl w:val="0"/>
          <w:numId w:val="2"/>
        </w:numPr>
        <w:spacing w:after="40" w:before="40"/>
      </w:pPr>
      <w:r>
        <w:rPr>
          <w:rFonts w:ascii="맑은 고딕" w:cs="맑은 고딕" w:eastAsia="맑은 고딕" w:hAnsi="맑은 고딕"/>
          <w:sz w:val="22"/>
          <w:szCs w:val="22"/>
        </w:rPr>
        <w:t xml:space="preserve">온보딩 완료 체크리스트 확인 후 정식 운영 전환</w:t>
      </w:r>
    </w:p>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핵심 체계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2000"/>
        <w:gridCol w:w="2138"/>
      </w:tblGrid>
      <w:tr>
        <w:trPr>
          <w:tblHeader/>
        </w:trPr>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3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내용</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기간</w:t>
            </w:r>
          </w:p>
        </w:tc>
        <w:tc>
          <w:tcPr>
            <w:tcW w:type="dxa" w:w="21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기준</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킥오프 미팅</w:t>
            </w:r>
          </w:p>
        </w:tc>
        <w:tc>
          <w:tcPr>
            <w:tcW w:type="dxa" w:w="3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역할·기대치·소통 채널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D+1</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킥오프 회의록</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제품 교육</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제품 특성·USP·FAQ 교육</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D+1~7</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교육 수료 확인</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자료 제공</w:t>
            </w:r>
          </w:p>
        </w:tc>
        <w:tc>
          <w:tcPr>
            <w:tcW w:type="dxa" w:w="3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카탈로그·가격표·브랜드 가이드 전달</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D+1~3</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자료 수령 확인</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시스템 교육</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주문·보고 시스템 사용 교육</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D+3~7</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시스템 접속 완료</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집중 지원</w:t>
            </w:r>
          </w:p>
        </w:tc>
        <w:tc>
          <w:tcPr>
            <w:tcW w:type="dxa" w:w="3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주간 체크인·초기 이슈 해결</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D+1~90</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주간 체크인 기록</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정식 전환</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온보딩 체크리스트 완료 확인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D+90</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온보딩 완료 확인서</w:t>
            </w:r>
          </w:p>
        </w:tc>
      </w:tr>
    </w:tbl>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rPr>
          <w:tblHeader/>
        </w:trPr>
        <w:tc>
          <w:tcPr>
            <w:tcW w:type="dxa" w:w="58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킥오프 미팅 일정 확정 및 어젠다 공유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제품 교육 세션 진행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영문 교육 자료 파트너 전달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카탈로그·가격표 최신 버전 전달</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브랜드 가이드라인 제공 및 준수 합의</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주문·보고 시스템 접속 설정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첫 주문 프로세스 실습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초기 3개월 주간 체크인 일정 설정</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온보딩 완료 체크리스트 항목별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 담당자 연락처 CRM 등록</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온보딩 완료 후 정식 운영 전환 공지</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r>
        <w:br w:type="page"/>
      </w:r>
    </w:p>
    <w:p>
      <w:pPr>
        <w:pStyle w:val="Heading2"/>
        <w:spacing w:after="100" w:before="200"/>
      </w:pPr>
      <w:r>
        <w:rPr>
          <w:rFonts w:ascii="맑은 고딕" w:cs="맑은 고딕" w:eastAsia="맑은 고딕" w:hAnsi="맑은 고딕"/>
          <w:b/>
          <w:bCs/>
          <w:color w:val="2E75B6"/>
          <w:sz w:val="28"/>
          <w:szCs w:val="28"/>
        </w:rPr>
        <w:t xml:space="preserve">2.3 파트너별 매출 목표 관리 및 성과 리뷰</w:t>
      </w:r>
    </w:p>
    <w:p>
      <w:pPr>
        <w:spacing w:after="60" w:before="120"/>
      </w:pPr>
      <w:r>
        <w:rPr>
          <w:rFonts w:ascii="맑은 고딕" w:cs="맑은 고딕" w:eastAsia="맑은 고딕" w:hAnsi="맑은 고딕"/>
          <w:b/>
          <w:bCs/>
          <w:sz w:val="22"/>
          <w:szCs w:val="22"/>
        </w:rPr>
        <w:t xml:space="preserve">■ 업무 프로세스</w:t>
      </w:r>
    </w:p>
    <w:p>
      <w:pPr>
        <w:pStyle w:val="ListParagraph"/>
        <w:numPr>
          <w:ilvl w:val="0"/>
          <w:numId w:val="2"/>
        </w:numPr>
        <w:spacing w:after="40" w:before="40"/>
      </w:pPr>
      <w:r>
        <w:rPr>
          <w:rFonts w:ascii="맑은 고딕" w:cs="맑은 고딕" w:eastAsia="맑은 고딕" w:hAnsi="맑은 고딕"/>
          <w:sz w:val="22"/>
          <w:szCs w:val="22"/>
        </w:rPr>
        <w:t xml:space="preserve">연초 파트너별 연간·분기 매출 목표 합의 및 계약서 또는 별도 MOU에 기재</w:t>
      </w:r>
    </w:p>
    <w:p>
      <w:pPr>
        <w:pStyle w:val="ListParagraph"/>
        <w:numPr>
          <w:ilvl w:val="0"/>
          <w:numId w:val="2"/>
        </w:numPr>
        <w:spacing w:after="40" w:before="40"/>
      </w:pPr>
      <w:r>
        <w:rPr>
          <w:rFonts w:ascii="맑은 고딕" w:cs="맑은 고딕" w:eastAsia="맑은 고딕" w:hAnsi="맑은 고딕"/>
          <w:sz w:val="22"/>
          <w:szCs w:val="22"/>
        </w:rPr>
        <w:t xml:space="preserve">월간 파트너 매출 실적 데이터 수집(주문 시스템·파트너 보고서 기준)</w:t>
      </w:r>
    </w:p>
    <w:p>
      <w:pPr>
        <w:pStyle w:val="ListParagraph"/>
        <w:numPr>
          <w:ilvl w:val="0"/>
          <w:numId w:val="2"/>
        </w:numPr>
        <w:spacing w:after="40" w:before="40"/>
      </w:pPr>
      <w:r>
        <w:rPr>
          <w:rFonts w:ascii="맑은 고딕" w:cs="맑은 고딕" w:eastAsia="맑은 고딕" w:hAnsi="맑은 고딕"/>
          <w:sz w:val="22"/>
          <w:szCs w:val="22"/>
        </w:rPr>
        <w:t xml:space="preserve">목표 대비 달성률 분석 및 성과 부진 파트너 조기 파악</w:t>
      </w:r>
    </w:p>
    <w:p>
      <w:pPr>
        <w:pStyle w:val="ListParagraph"/>
        <w:numPr>
          <w:ilvl w:val="0"/>
          <w:numId w:val="2"/>
        </w:numPr>
        <w:spacing w:after="40" w:before="40"/>
      </w:pPr>
      <w:r>
        <w:rPr>
          <w:rFonts w:ascii="맑은 고딕" w:cs="맑은 고딕" w:eastAsia="맑은 고딕" w:hAnsi="맑은 고딕"/>
          <w:sz w:val="22"/>
          <w:szCs w:val="22"/>
        </w:rPr>
        <w:t xml:space="preserve">분기별 파트너 성과 리뷰 미팅 진행: 실적 공유·개선 방안 협의·다음 분기 계획 수립</w:t>
      </w:r>
    </w:p>
    <w:p>
      <w:pPr>
        <w:pStyle w:val="ListParagraph"/>
        <w:numPr>
          <w:ilvl w:val="0"/>
          <w:numId w:val="2"/>
        </w:numPr>
        <w:spacing w:after="40" w:before="40"/>
      </w:pPr>
      <w:r>
        <w:rPr>
          <w:rFonts w:ascii="맑은 고딕" w:cs="맑은 고딕" w:eastAsia="맑은 고딕" w:hAnsi="맑은 고딕"/>
          <w:sz w:val="22"/>
          <w:szCs w:val="22"/>
        </w:rPr>
        <w:t xml:space="preserve">우수 파트너 인센티브(추가 마진·공동 마케팅 예산·우선 납기) 제공</w:t>
      </w:r>
    </w:p>
    <w:p>
      <w:pPr>
        <w:pStyle w:val="ListParagraph"/>
        <w:numPr>
          <w:ilvl w:val="0"/>
          <w:numId w:val="2"/>
        </w:numPr>
        <w:spacing w:after="40" w:before="40"/>
      </w:pPr>
      <w:r>
        <w:rPr>
          <w:rFonts w:ascii="맑은 고딕" w:cs="맑은 고딕" w:eastAsia="맑은 고딕" w:hAnsi="맑은 고딕"/>
          <w:sz w:val="22"/>
          <w:szCs w:val="22"/>
        </w:rPr>
        <w:t xml:space="preserve">연간 파트너 성과 종합 리포트 작성 및 경영진 보고</w:t>
      </w:r>
    </w:p>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핵심 체계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2000"/>
        <w:gridCol w:w="2138"/>
      </w:tblGrid>
      <w:tr>
        <w:trPr>
          <w:tblHeader/>
        </w:trPr>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리뷰 활동</w:t>
            </w:r>
          </w:p>
        </w:tc>
        <w:tc>
          <w:tcPr>
            <w:tcW w:type="dxa" w:w="3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내용</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주기</w:t>
            </w:r>
          </w:p>
        </w:tc>
        <w:tc>
          <w:tcPr>
            <w:tcW w:type="dxa" w:w="21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월간 실적 집계</w:t>
            </w:r>
          </w:p>
        </w:tc>
        <w:tc>
          <w:tcPr>
            <w:tcW w:type="dxa" w:w="3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파트너별 매출·주문 건수 수집</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월간</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파트너/채널 담당</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목표 달성률 분석</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목표 대비 실적 비교·부진 원인 파악</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월간</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파트너/채널 담당</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분기 리뷰 미팅</w:t>
            </w:r>
          </w:p>
        </w:tc>
        <w:tc>
          <w:tcPr>
            <w:tcW w:type="dxa" w:w="3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파트너와 화상·대면 성과 리뷰</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분기</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파트너/채널 담당</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우수 파트너 인센티브</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목표 초과 달성 파트너 보상</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분기·연간</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재무팀 협의</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연간 성과 보고</w:t>
            </w:r>
          </w:p>
        </w:tc>
        <w:tc>
          <w:tcPr>
            <w:tcW w:type="dxa" w:w="3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파트너별 연간 성과 경영진 보고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연간</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파트너/채널 담당</w:t>
            </w:r>
          </w:p>
        </w:tc>
      </w:tr>
    </w:tbl>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rPr>
          <w:tblHeader/>
        </w:trPr>
        <w:tc>
          <w:tcPr>
            <w:tcW w:type="dxa" w:w="58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파트너별 연간·분기 매출 목표 합의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월간 파트너 실적 데이터 수집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목표 대비 달성률 분석</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성과 부진 파트너 조기 파악 및 원인 분석</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부진 파트너 지원 방안 협의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분기 파트너 리뷰 미팅 진행</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우수 파트너 인센티브 지급 결정</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 성과 데이터 CRM 업데이트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분기 파트너 성과 리포트 작성</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경영진 보고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r>
        <w:br w:type="page"/>
      </w:r>
    </w:p>
    <w:p>
      <w:pPr>
        <w:pStyle w:val="Heading2"/>
        <w:spacing w:after="100" w:before="200"/>
      </w:pPr>
      <w:r>
        <w:rPr>
          <w:rFonts w:ascii="맑은 고딕" w:cs="맑은 고딕" w:eastAsia="맑은 고딕" w:hAnsi="맑은 고딕"/>
          <w:b/>
          <w:bCs/>
          <w:color w:val="2E75B6"/>
          <w:sz w:val="28"/>
          <w:szCs w:val="28"/>
        </w:rPr>
        <w:t xml:space="preserve">2.4 공동 마케팅(Co-marketing) 기획 및 실행</w:t>
      </w:r>
    </w:p>
    <w:p>
      <w:pPr>
        <w:spacing w:after="60" w:before="120"/>
      </w:pPr>
      <w:r>
        <w:rPr>
          <w:rFonts w:ascii="맑은 고딕" w:cs="맑은 고딕" w:eastAsia="맑은 고딕" w:hAnsi="맑은 고딕"/>
          <w:b/>
          <w:bCs/>
          <w:sz w:val="22"/>
          <w:szCs w:val="22"/>
        </w:rPr>
        <w:t xml:space="preserve">■ 업무 프로세스</w:t>
      </w:r>
    </w:p>
    <w:p>
      <w:pPr>
        <w:pStyle w:val="ListParagraph"/>
        <w:numPr>
          <w:ilvl w:val="0"/>
          <w:numId w:val="2"/>
        </w:numPr>
        <w:spacing w:after="40" w:before="40"/>
      </w:pPr>
      <w:r>
        <w:rPr>
          <w:rFonts w:ascii="맑은 고딕" w:cs="맑은 고딕" w:eastAsia="맑은 고딕" w:hAnsi="맑은 고딕"/>
          <w:sz w:val="22"/>
          <w:szCs w:val="22"/>
        </w:rPr>
        <w:t xml:space="preserve">파트너와 공동 마케팅 목표 및 예산 분담 비율 합의</w:t>
      </w:r>
    </w:p>
    <w:p>
      <w:pPr>
        <w:pStyle w:val="ListParagraph"/>
        <w:numPr>
          <w:ilvl w:val="0"/>
          <w:numId w:val="2"/>
        </w:numPr>
        <w:spacing w:after="40" w:before="40"/>
      </w:pPr>
      <w:r>
        <w:rPr>
          <w:rFonts w:ascii="맑은 고딕" w:cs="맑은 고딕" w:eastAsia="맑은 고딕" w:hAnsi="맑은 고딕"/>
          <w:sz w:val="22"/>
          <w:szCs w:val="22"/>
        </w:rPr>
        <w:t xml:space="preserve">현지 소비자 트렌드·시즌 반영한 프로모션 캘린더 수립</w:t>
      </w:r>
    </w:p>
    <w:p>
      <w:pPr>
        <w:pStyle w:val="ListParagraph"/>
        <w:numPr>
          <w:ilvl w:val="0"/>
          <w:numId w:val="2"/>
        </w:numPr>
        <w:spacing w:after="40" w:before="40"/>
      </w:pPr>
      <w:r>
        <w:rPr>
          <w:rFonts w:ascii="맑은 고딕" w:cs="맑은 고딕" w:eastAsia="맑은 고딕" w:hAnsi="맑은 고딕"/>
          <w:sz w:val="22"/>
          <w:szCs w:val="22"/>
        </w:rPr>
        <w:t xml:space="preserve">마케팅팀과 협력해 현지화 소재(현지어 배너·SNS 콘텐츠·쿠폰) 제작</w:t>
      </w:r>
    </w:p>
    <w:p>
      <w:pPr>
        <w:pStyle w:val="ListParagraph"/>
        <w:numPr>
          <w:ilvl w:val="0"/>
          <w:numId w:val="2"/>
        </w:numPr>
        <w:spacing w:after="40" w:before="40"/>
      </w:pPr>
      <w:r>
        <w:rPr>
          <w:rFonts w:ascii="맑은 고딕" w:cs="맑은 고딕" w:eastAsia="맑은 고딕" w:hAnsi="맑은 고딕"/>
          <w:sz w:val="22"/>
          <w:szCs w:val="22"/>
        </w:rPr>
        <w:t xml:space="preserve">파트너 채널과 자사 채널 동시 게재 실행</w:t>
      </w:r>
    </w:p>
    <w:p>
      <w:pPr>
        <w:pStyle w:val="ListParagraph"/>
        <w:numPr>
          <w:ilvl w:val="0"/>
          <w:numId w:val="2"/>
        </w:numPr>
        <w:spacing w:after="40" w:before="40"/>
      </w:pPr>
      <w:r>
        <w:rPr>
          <w:rFonts w:ascii="맑은 고딕" w:cs="맑은 고딕" w:eastAsia="맑은 고딕" w:hAnsi="맑은 고딕"/>
          <w:sz w:val="22"/>
          <w:szCs w:val="22"/>
        </w:rPr>
        <w:t xml:space="preserve">프로모션 기간 중 성과 실시간 모니터링 및 파트너와 공유</w:t>
      </w:r>
    </w:p>
    <w:p>
      <w:pPr>
        <w:pStyle w:val="ListParagraph"/>
        <w:numPr>
          <w:ilvl w:val="0"/>
          <w:numId w:val="2"/>
        </w:numPr>
        <w:spacing w:after="40" w:before="40"/>
      </w:pPr>
      <w:r>
        <w:rPr>
          <w:rFonts w:ascii="맑은 고딕" w:cs="맑은 고딕" w:eastAsia="맑은 고딕" w:hAnsi="맑은 고딕"/>
          <w:sz w:val="22"/>
          <w:szCs w:val="22"/>
        </w:rPr>
        <w:t xml:space="preserve">프로모션 종료 후 ROI 분석 및 다음 프로모션 개선 방향 도출</w:t>
      </w:r>
    </w:p>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핵심 체계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4000"/>
        <w:gridCol w:w="1500"/>
        <w:gridCol w:w="1638"/>
      </w:tblGrid>
      <w:tr>
        <w:trPr>
          <w:tblHeader/>
        </w:trPr>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내용</w:t>
            </w:r>
          </w:p>
        </w:tc>
        <w:tc>
          <w:tcPr>
            <w:tcW w:type="dxa" w:w="1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w:t>
            </w:r>
          </w:p>
        </w:tc>
        <w:tc>
          <w:tcPr>
            <w:tcW w:type="dxa" w:w="16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시점</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목표 설정</w:t>
            </w:r>
          </w:p>
        </w:tc>
        <w:tc>
          <w:tcPr>
            <w:tcW w:type="dxa" w:w="4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매출 목표·참여 채널·KPI 합의</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파트너+담당자</w:t>
            </w:r>
          </w:p>
        </w:tc>
        <w:tc>
          <w:tcPr>
            <w:tcW w:type="dxa" w:w="1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캠페인 4주 전</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예산 분담</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자사·파트너 예산 비율 결정</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재무팀 협의</w:t>
            </w:r>
          </w:p>
        </w:tc>
        <w:tc>
          <w:tcPr>
            <w:tcW w:type="dxa" w:w="1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캠페인 3주 전</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소재 제작</w:t>
            </w:r>
          </w:p>
        </w:tc>
        <w:tc>
          <w:tcPr>
            <w:tcW w:type="dxa" w:w="4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현지어 배너·SNS 콘텐츠·쿠폰</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마케팅팀</w:t>
            </w:r>
          </w:p>
        </w:tc>
        <w:tc>
          <w:tcPr>
            <w:tcW w:type="dxa" w:w="1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캠페인 2주 전</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채널 게재</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파트너·자사 채널 동시 게시</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파트너+담당자</w:t>
            </w:r>
          </w:p>
        </w:tc>
        <w:tc>
          <w:tcPr>
            <w:tcW w:type="dxa" w:w="1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캠페인 당일</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성과 모니터링</w:t>
            </w:r>
          </w:p>
        </w:tc>
        <w:tc>
          <w:tcPr>
            <w:tcW w:type="dxa" w:w="4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클릭·전환·매출 실시간 확인</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담당자</w:t>
            </w:r>
          </w:p>
        </w:tc>
        <w:tc>
          <w:tcPr>
            <w:tcW w:type="dxa" w:w="1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캠페인 기간</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ROI 분석</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투자 대비 매출 분석 보고</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담당자</w:t>
            </w:r>
          </w:p>
        </w:tc>
        <w:tc>
          <w:tcPr>
            <w:tcW w:type="dxa" w:w="1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캠페인 후 1주</w:t>
            </w:r>
          </w:p>
        </w:tc>
      </w:tr>
    </w:tbl>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rPr>
          <w:tblHeader/>
        </w:trPr>
        <w:tc>
          <w:tcPr>
            <w:tcW w:type="dxa" w:w="58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공동 마케팅 목표 및 KPI 파트너와 합의</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예산 분담 비율 결정 및 계약서 첨부</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프로모션 캘린더 수립</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현지어 마케팅 소재 마케팅팀 의뢰</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소재 파트너사 검토 및 최종 확정</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 채널 게재 일정 및 내용 확인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자사 채널 동시 게재 실행</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프로모션 기간 중 성과 모니터링</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쿠폰·혜택 정상 적용 여부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프로모션 종료 후 ROI 분석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다음 프로모션 개선 방향 도출 및 공유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r>
        <w:br w:type="page"/>
      </w:r>
    </w:p>
    <w:p>
      <w:pPr>
        <w:pStyle w:val="Heading2"/>
        <w:spacing w:after="100" w:before="200"/>
      </w:pPr>
      <w:r>
        <w:rPr>
          <w:rFonts w:ascii="맑은 고딕" w:cs="맑은 고딕" w:eastAsia="맑은 고딕" w:hAnsi="맑은 고딕"/>
          <w:b/>
          <w:bCs/>
          <w:color w:val="2E75B6"/>
          <w:sz w:val="28"/>
          <w:szCs w:val="28"/>
        </w:rPr>
        <w:t xml:space="preserve">2.5 온라인 플랫폼 채널 관리 및 최적화</w:t>
      </w:r>
    </w:p>
    <w:p>
      <w:pPr>
        <w:spacing w:after="60" w:before="120"/>
      </w:pPr>
      <w:r>
        <w:rPr>
          <w:rFonts w:ascii="맑은 고딕" w:cs="맑은 고딕" w:eastAsia="맑은 고딕" w:hAnsi="맑은 고딕"/>
          <w:b/>
          <w:bCs/>
          <w:sz w:val="22"/>
          <w:szCs w:val="22"/>
        </w:rPr>
        <w:t xml:space="preserve">■ 업무 프로세스</w:t>
      </w:r>
    </w:p>
    <w:p>
      <w:pPr>
        <w:pStyle w:val="ListParagraph"/>
        <w:numPr>
          <w:ilvl w:val="0"/>
          <w:numId w:val="2"/>
        </w:numPr>
        <w:spacing w:after="40" w:before="40"/>
      </w:pPr>
      <w:r>
        <w:rPr>
          <w:rFonts w:ascii="맑은 고딕" w:cs="맑은 고딕" w:eastAsia="맑은 고딕" w:hAnsi="맑은 고딕"/>
          <w:sz w:val="22"/>
          <w:szCs w:val="22"/>
        </w:rPr>
        <w:t xml:space="preserve">Amazon·라쿠텐·Lazada 계정 상태(정책 준수·판매 지표·피드백 점수) 주간 확인</w:t>
      </w:r>
    </w:p>
    <w:p>
      <w:pPr>
        <w:pStyle w:val="ListParagraph"/>
        <w:numPr>
          <w:ilvl w:val="0"/>
          <w:numId w:val="2"/>
        </w:numPr>
        <w:spacing w:after="40" w:before="40"/>
      </w:pPr>
      <w:r>
        <w:rPr>
          <w:rFonts w:ascii="맑은 고딕" w:cs="맑은 고딕" w:eastAsia="맑은 고딕" w:hAnsi="맑은 고딕"/>
          <w:sz w:val="22"/>
          <w:szCs w:val="22"/>
        </w:rPr>
        <w:t xml:space="preserve">상품 리스팅 최적화: 현지어 제목·키워드·이미지·A+ 콘텐츠 업데이트 분기 실행</w:t>
      </w:r>
    </w:p>
    <w:p>
      <w:pPr>
        <w:pStyle w:val="ListParagraph"/>
        <w:numPr>
          <w:ilvl w:val="0"/>
          <w:numId w:val="2"/>
        </w:numPr>
        <w:spacing w:after="40" w:before="40"/>
      </w:pPr>
      <w:r>
        <w:rPr>
          <w:rFonts w:ascii="맑은 고딕" w:cs="맑은 고딕" w:eastAsia="맑은 고딕" w:hAnsi="맑은 고딕"/>
          <w:sz w:val="22"/>
          <w:szCs w:val="22"/>
        </w:rPr>
        <w:t xml:space="preserve">플랫폼별 광고(PPC·스폰서드) 예산 설정 및 ROAS·ACOS 주간 모니터링</w:t>
      </w:r>
    </w:p>
    <w:p>
      <w:pPr>
        <w:pStyle w:val="ListParagraph"/>
        <w:numPr>
          <w:ilvl w:val="0"/>
          <w:numId w:val="2"/>
        </w:numPr>
        <w:spacing w:after="40" w:before="40"/>
      </w:pPr>
      <w:r>
        <w:rPr>
          <w:rFonts w:ascii="맑은 고딕" w:cs="맑은 고딕" w:eastAsia="맑은 고딕" w:hAnsi="맑은 고딕"/>
          <w:sz w:val="22"/>
          <w:szCs w:val="22"/>
        </w:rPr>
        <w:t xml:space="preserve">재고 수준 주간 확인 및 FBA 보충 물류팀에 요청(품절 방지)</w:t>
      </w:r>
    </w:p>
    <w:p>
      <w:pPr>
        <w:pStyle w:val="ListParagraph"/>
        <w:numPr>
          <w:ilvl w:val="0"/>
          <w:numId w:val="2"/>
        </w:numPr>
        <w:spacing w:after="40" w:before="40"/>
      </w:pPr>
      <w:r>
        <w:rPr>
          <w:rFonts w:ascii="맑은 고딕" w:cs="맑은 고딕" w:eastAsia="맑은 고딕" w:hAnsi="맑은 고딕"/>
          <w:sz w:val="22"/>
          <w:szCs w:val="22"/>
        </w:rPr>
        <w:t xml:space="preserve">플랫폼 시즌 이벤트(Prime Day·Rakuten Super Sale·Lazada 11.11) 사전 기획 및 참여</w:t>
      </w:r>
    </w:p>
    <w:p>
      <w:pPr>
        <w:pStyle w:val="ListParagraph"/>
        <w:numPr>
          <w:ilvl w:val="0"/>
          <w:numId w:val="2"/>
        </w:numPr>
        <w:spacing w:after="40" w:before="40"/>
      </w:pPr>
      <w:r>
        <w:rPr>
          <w:rFonts w:ascii="맑은 고딕" w:cs="맑은 고딕" w:eastAsia="맑은 고딕" w:hAnsi="맑은 고딕"/>
          <w:sz w:val="22"/>
          <w:szCs w:val="22"/>
        </w:rPr>
        <w:t xml:space="preserve">플랫폼 정책 변경 모니터링 및 영향 분석, 필요 시 즉시 대응</w:t>
      </w:r>
    </w:p>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핵심 체계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2000"/>
        <w:gridCol w:w="2138"/>
      </w:tblGrid>
      <w:tr>
        <w:trPr>
          <w:tblHeader/>
        </w:trPr>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플랫폼</w:t>
            </w:r>
          </w:p>
        </w:tc>
        <w:tc>
          <w:tcPr>
            <w:tcW w:type="dxa" w:w="3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핵심 관리 포인트</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KPI</w:t>
            </w:r>
          </w:p>
        </w:tc>
        <w:tc>
          <w:tcPr>
            <w:tcW w:type="dxa" w:w="21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관리 도구</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Amazon</w:t>
            </w:r>
          </w:p>
        </w:tc>
        <w:tc>
          <w:tcPr>
            <w:tcW w:type="dxa" w:w="3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키워드 최적화·PPC·FBA 재고 관리</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BSR·ACOS·전환율</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Seller Support</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라쿠텐(일본)</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일본어 상품명·리뷰 관리·쿠폰 전략</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판매 건수·평점</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라쿠텐 파트너 포털</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Lazada</w:t>
            </w:r>
          </w:p>
        </w:tc>
        <w:tc>
          <w:tcPr>
            <w:tcW w:type="dxa" w:w="3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현지어 리스팅·플래시세일 참여</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GMV·전환율·별점</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Lazada 셀러 센터</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Shopee</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동남아 현지화·번들 전략</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GMV·평점</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Shopee 셀러 센터</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자사 글로벌몰</w:t>
            </w:r>
          </w:p>
        </w:tc>
        <w:tc>
          <w:tcPr>
            <w:tcW w:type="dxa" w:w="3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SEO·유료 광고 연동·UX 개선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유입·전환·ROAS</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내부 개발팀</w:t>
            </w:r>
          </w:p>
        </w:tc>
      </w:tr>
    </w:tbl>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rPr>
          <w:tblHeader/>
        </w:trPr>
        <w:tc>
          <w:tcPr>
            <w:tcW w:type="dxa" w:w="58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플랫폼 계정 상태 주간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상품 리스팅 현지어 최적화 분기 실행</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플랫폼 광고 ROAS·ACOS 주간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재고 수준 주간 확인 및 FBA 보충 요청</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플랫폼 리뷰 신규 등록 확인 및 대응</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부정 리뷰 CS팀 공유 및 처리</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시즌 이벤트 사전 기획 및 참여 등록</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플랫폼 정책 변경 사항 주간 모니터링</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월간 플랫폼 성과 리포트 작성</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최적화 개선 Action Item 설정</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플랫폼 셀러 등급·배지 유지 관리</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r>
        <w:br w:type="page"/>
      </w:r>
    </w:p>
    <w:p>
      <w:pPr>
        <w:pStyle w:val="Heading2"/>
        <w:spacing w:after="100" w:before="200"/>
      </w:pPr>
      <w:r>
        <w:rPr>
          <w:rFonts w:ascii="맑은 고딕" w:cs="맑은 고딕" w:eastAsia="맑은 고딕" w:hAnsi="맑은 고딕"/>
          <w:b/>
          <w:bCs/>
          <w:color w:val="2E75B6"/>
          <w:sz w:val="28"/>
          <w:szCs w:val="28"/>
        </w:rPr>
        <w:t xml:space="preserve">2.6 파트너 관계 유지 및 갱신 협상</w:t>
      </w:r>
    </w:p>
    <w:p>
      <w:pPr>
        <w:spacing w:after="60" w:before="120"/>
      </w:pPr>
      <w:r>
        <w:rPr>
          <w:rFonts w:ascii="맑은 고딕" w:cs="맑은 고딕" w:eastAsia="맑은 고딕" w:hAnsi="맑은 고딕"/>
          <w:b/>
          <w:bCs/>
          <w:sz w:val="22"/>
          <w:szCs w:val="22"/>
        </w:rPr>
        <w:t xml:space="preserve">■ 업무 프로세스</w:t>
      </w:r>
    </w:p>
    <w:p>
      <w:pPr>
        <w:pStyle w:val="ListParagraph"/>
        <w:numPr>
          <w:ilvl w:val="0"/>
          <w:numId w:val="2"/>
        </w:numPr>
        <w:spacing w:after="40" w:before="40"/>
      </w:pPr>
      <w:r>
        <w:rPr>
          <w:rFonts w:ascii="맑은 고딕" w:cs="맑은 고딕" w:eastAsia="맑은 고딕" w:hAnsi="맑은 고딕"/>
          <w:sz w:val="22"/>
          <w:szCs w:val="22"/>
        </w:rPr>
        <w:t xml:space="preserve">파트너별 월 1회 이상 정기 소통(화상 미팅·이메일)으로 이슈 조기 파악</w:t>
      </w:r>
    </w:p>
    <w:p>
      <w:pPr>
        <w:pStyle w:val="ListParagraph"/>
        <w:numPr>
          <w:ilvl w:val="0"/>
          <w:numId w:val="2"/>
        </w:numPr>
        <w:spacing w:after="40" w:before="40"/>
      </w:pPr>
      <w:r>
        <w:rPr>
          <w:rFonts w:ascii="맑은 고딕" w:cs="맑은 고딕" w:eastAsia="맑은 고딕" w:hAnsi="맑은 고딕"/>
          <w:sz w:val="22"/>
          <w:szCs w:val="22"/>
        </w:rPr>
        <w:t xml:space="preserve">신제품 출시·가격 변경·프로모션 계획을 파트너에게 경쟁사보다 먼저 안내</w:t>
      </w:r>
    </w:p>
    <w:p>
      <w:pPr>
        <w:pStyle w:val="ListParagraph"/>
        <w:numPr>
          <w:ilvl w:val="0"/>
          <w:numId w:val="2"/>
        </w:numPr>
        <w:spacing w:after="40" w:before="40"/>
      </w:pPr>
      <w:r>
        <w:rPr>
          <w:rFonts w:ascii="맑은 고딕" w:cs="맑은 고딕" w:eastAsia="맑은 고딕" w:hAnsi="맑은 고딕"/>
          <w:sz w:val="22"/>
          <w:szCs w:val="22"/>
        </w:rPr>
        <w:t xml:space="preserve">파트너 이탈 신호(주문량 감소·응답 지연) 모니터링 및 즉시 대응</w:t>
      </w:r>
    </w:p>
    <w:p>
      <w:pPr>
        <w:pStyle w:val="ListParagraph"/>
        <w:numPr>
          <w:ilvl w:val="0"/>
          <w:numId w:val="2"/>
        </w:numPr>
        <w:spacing w:after="40" w:before="40"/>
      </w:pPr>
      <w:r>
        <w:rPr>
          <w:rFonts w:ascii="맑은 고딕" w:cs="맑은 고딕" w:eastAsia="맑은 고딕" w:hAnsi="맑은 고딕"/>
          <w:sz w:val="22"/>
          <w:szCs w:val="22"/>
        </w:rPr>
        <w:t xml:space="preserve">계약 만료 90일 전 갱신 협상 착수: 신규 목표·조건·혜택 제안</w:t>
      </w:r>
    </w:p>
    <w:p>
      <w:pPr>
        <w:pStyle w:val="ListParagraph"/>
        <w:numPr>
          <w:ilvl w:val="0"/>
          <w:numId w:val="2"/>
        </w:numPr>
        <w:spacing w:after="40" w:before="40"/>
      </w:pPr>
      <w:r>
        <w:rPr>
          <w:rFonts w:ascii="맑은 고딕" w:cs="맑은 고딕" w:eastAsia="맑은 고딕" w:hAnsi="맑은 고딕"/>
          <w:sz w:val="22"/>
          <w:szCs w:val="22"/>
        </w:rPr>
        <w:t xml:space="preserve">우수 파트너 장기 파트너십 강화 혜택(독점 지역 확대·마진 업그레이드) 제안</w:t>
      </w:r>
    </w:p>
    <w:p>
      <w:pPr>
        <w:pStyle w:val="ListParagraph"/>
        <w:numPr>
          <w:ilvl w:val="0"/>
          <w:numId w:val="2"/>
        </w:numPr>
        <w:spacing w:after="40" w:before="40"/>
      </w:pPr>
      <w:r>
        <w:rPr>
          <w:rFonts w:ascii="맑은 고딕" w:cs="맑은 고딕" w:eastAsia="맑은 고딕" w:hAnsi="맑은 고딕"/>
          <w:sz w:val="22"/>
          <w:szCs w:val="22"/>
        </w:rPr>
        <w:t xml:space="preserve">계약 갱신 완료 후 다음 계약 만료일 CRM 알림 재설정</w:t>
      </w:r>
    </w:p>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핵심 체계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2500"/>
        <w:gridCol w:w="2500"/>
        <w:gridCol w:w="2138"/>
      </w:tblGrid>
      <w:tr>
        <w:trPr>
          <w:tblHeader/>
        </w:trPr>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활동</w:t>
            </w:r>
          </w:p>
        </w:tc>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주기</w:t>
            </w:r>
          </w:p>
        </w:tc>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방법</w:t>
            </w:r>
          </w:p>
        </w:tc>
        <w:tc>
          <w:tcPr>
            <w:tcW w:type="dxa" w:w="21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목적</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정기 소통</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 1회 이상</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화상 미팅·이메일</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이슈 조기 파악</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신제품 안내</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출시·행사 시</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이메일·뉴스레터</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추가 발주 유도</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이탈 신호 모니터링</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상시</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CRM 대시보드</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이탈 방지</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갱신 협상 착수</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만료 90일 전</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화상 미팅·제안서</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계약 연장</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우수 파트너 특별 케어</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분기 1회</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방문·특별 이벤트</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장기 관계 강화</w:t>
            </w:r>
          </w:p>
        </w:tc>
      </w:tr>
    </w:tbl>
    <w:p>
      <w:r>
        <w:rPr>
          <w:rFonts w:ascii="맑은 고딕" w:cs="맑은 고딕" w:eastAsia="맑은 고딕" w:hAnsi="맑은 고딕"/>
          <w:sz w:val="22"/>
          <w:szCs w:val="22"/>
        </w:rPr>
        <w:t xml:space="preserve"/>
      </w:r>
    </w:p>
    <w:p>
      <w:pPr>
        <w:spacing w:after="60" w:before="120"/>
      </w:pPr>
      <w:r>
        <w:rPr>
          <w:rFonts w:ascii="맑은 고딕" w:cs="맑은 고딕" w:eastAsia="맑은 고딕" w:hAnsi="맑은 고딕"/>
          <w:b/>
          <w:bCs/>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rPr>
          <w:tblHeader/>
        </w:trPr>
        <w:tc>
          <w:tcPr>
            <w:tcW w:type="dxa" w:w="58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파트너별 월 1회 이상 정기 소통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신제품·프로모션 파트너 우선 안내</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이탈 신호 파트너 CRM 모니터링</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이탈 위험 파트너 즉시 원인 파악</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계약 만료 90일 전 갱신 협상 착수</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갱신 제안서(신규 목표·조건) 작성</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파트너와 갱신 조건 합의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계약 갱신 서명 완료 및 보관</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다음 만료일 CRM 알림 재설정</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우수 파트너 장기 혜택 제안</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center"/>
            </w:pPr>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r>
        <w:br w:type="page"/>
      </w:r>
    </w:p>
    <w:p>
      <w:pPr>
        <w:pStyle w:val="Heading1"/>
        <w:spacing w:after="120" w:before="240"/>
      </w:pPr>
      <w:r>
        <w:rPr>
          <w:rFonts w:ascii="맑은 고딕" w:cs="맑은 고딕" w:eastAsia="맑은 고딕" w:hAnsi="맑은 고딕"/>
          <w:b/>
          <w:bCs/>
          <w:color w:val="1F3864"/>
          <w:sz w:val="32"/>
          <w:szCs w:val="32"/>
        </w:rPr>
        <w:t xml:space="preserve">3장. KPI 및 성과 지표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3000"/>
        <w:gridCol w:w="2000"/>
        <w:gridCol w:w="2138"/>
      </w:tblGrid>
      <w:tr>
        <w:trPr>
          <w:tblHeader/>
        </w:trPr>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KPI 항목</w:t>
            </w:r>
          </w:p>
        </w:tc>
        <w:tc>
          <w:tcPr>
            <w:tcW w:type="dxa" w:w="3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측정 방법</w:t>
            </w:r>
          </w:p>
        </w:tc>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목표 기준</w:t>
            </w:r>
          </w:p>
        </w:tc>
        <w:tc>
          <w:tcPr>
            <w:tcW w:type="dxa" w:w="21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측정 주기</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파트너별 매출 달성률</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 실적/목표×100</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100% 이상</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월간</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신규 파트너 계약 수</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당기 신규 계약 건수</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연간 3개 이상</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분기</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 재계약률</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재계약 파트너 수/만료 파트너 수</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80% 이상</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연간</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공동 마케팅 ROI</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(공동마케팅 매출-비용)/비용×100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150% 이상</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분기</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플랫폼 평균 평점</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주요 플랫폼 별점 평균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4.5점 이상</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월간</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플랫폼 매출 성장률</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(당기-전기)/전기×100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 5% 이상</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월간</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 만족도</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분기별 파트너 만족도 조사</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4.0점 이상</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분기</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채널 다각화 지수</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단일 파트너 매출 의존도</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1개 파트너 40% 이하</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분기</w:t>
            </w:r>
          </w:p>
        </w:tc>
      </w:tr>
    </w:tbl>
    <w:p>
      <w:r>
        <w:rPr>
          <w:rFonts w:ascii="맑은 고딕" w:cs="맑은 고딕" w:eastAsia="맑은 고딕" w:hAnsi="맑은 고딕"/>
          <w:sz w:val="22"/>
          <w:szCs w:val="22"/>
        </w:rPr>
        <w:t xml:space="preserve"/>
      </w:r>
    </w:p>
    <w:p>
      <w:r>
        <w:br w:type="page"/>
      </w:r>
    </w:p>
    <w:p>
      <w:pPr>
        <w:pStyle w:val="Heading1"/>
        <w:spacing w:after="120" w:before="240"/>
      </w:pPr>
      <w:r>
        <w:rPr>
          <w:rFonts w:ascii="맑은 고딕" w:cs="맑은 고딕" w:eastAsia="맑은 고딕" w:hAnsi="맑은 고딕"/>
          <w:b/>
          <w:bCs/>
          <w:color w:val="1F3864"/>
          <w:sz w:val="32"/>
          <w:szCs w:val="32"/>
        </w:rPr>
        <w:t xml:space="preserve">4장. 주요 사용 도구</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1500"/>
        <w:gridCol w:w="3638"/>
      </w:tblGrid>
      <w:tr>
        <w:trPr>
          <w:tblHeader/>
        </w:trPr>
        <w:tc>
          <w:tcPr>
            <w:tcW w:type="dxa" w:w="20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도구명</w:t>
            </w:r>
          </w:p>
        </w:tc>
        <w:tc>
          <w:tcPr>
            <w:tcW w:type="dxa" w:w="2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기능</w:t>
            </w:r>
          </w:p>
        </w:tc>
        <w:tc>
          <w:tcPr>
            <w:tcW w:type="dxa" w:w="1500"/>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비용</w:t>
            </w:r>
          </w:p>
        </w:tc>
        <w:tc>
          <w:tcPr>
            <w:tcW w:type="dxa" w:w="3638"/>
            <w:tcBorders>
              <w:top w:val="single" w:color="2E75B6" w:sz="1"/>
              <w:left w:val="single" w:color="2E75B6" w:sz="1"/>
              <w:bottom w:val="single" w:color="2E75B6" w:sz="1"/>
              <w:right w:val="single" w:color="2E75B6" w:sz="1"/>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활용 목적</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Amazon Seller Central</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Amazon 리스팅·광고·재고 관리</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유료(수수료)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B2C 수출 핵심 플랫폼</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Lazada Seller Center</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동남아 Lazada 상품·광고 관리</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유료(수수료)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동남아 최대 이커머스</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라쿠텐 Merchant</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일본 라쿠텐 상품·프로모션 관리</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유료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일본 충성 고객 접근</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HubSpot CRM</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 파이프라인·이메일 관리</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무료/유료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 관계 이력 관리</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Canva</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공동 마케팅 소재 제작</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무료/유료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현지어 배너·SNS 소재 제작</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Google Analytics 4</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자사 글로벌몰 파트너 트래픽 분석</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무료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 유입 채널 분석</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DocuSign</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전자 파트너 계약서 서명</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유료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해외 파트너 서명 간소화</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Zoom</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해외 파트너 화상 미팅·교육</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유료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시차 극복 파트너 소통</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Notion</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 정보·계약 현황 관리</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유료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팀 내 파트너 지식 공유</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Slack</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파트너 담당자 실시간 소통</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유료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맑은 고딕" w:cs="맑은 고딕" w:eastAsia="맑은 고딕" w:hAnsi="맑은 고딕"/>
                <w:sz w:val="22"/>
                <w:szCs w:val="22"/>
              </w:rPr>
              <w:t xml:space="preserve">글로벌 채널 빠른 커뮤니케이션</w:t>
            </w:r>
          </w:p>
        </w:tc>
      </w:tr>
    </w:tbl>
    <w:p>
      <w:r>
        <w:rPr>
          <w:rFonts w:ascii="맑은 고딕" w:cs="맑은 고딕" w:eastAsia="맑은 고딕" w:hAnsi="맑은 고딕"/>
          <w:sz w:val="22"/>
          <w:szCs w:val="22"/>
        </w:rPr>
        <w:t xml:space="preserve"/>
      </w:r>
    </w:p>
    <w:p>
      <w:r>
        <w:br w:type="page"/>
      </w:r>
    </w:p>
    <w:p>
      <w:pPr>
        <w:pStyle w:val="Heading1"/>
        <w:spacing w:after="120" w:before="240"/>
      </w:pPr>
      <w:r>
        <w:rPr>
          <w:rFonts w:ascii="맑은 고딕" w:cs="맑은 고딕" w:eastAsia="맑은 고딕" w:hAnsi="맑은 고딕"/>
          <w:b/>
          <w:bCs/>
          <w:color w:val="1F3864"/>
          <w:sz w:val="32"/>
          <w:szCs w:val="32"/>
        </w:rPr>
        <w:t xml:space="preserve">5장. 협업 가이드</w:t>
      </w:r>
    </w:p>
    <w:p>
      <w:pPr>
        <w:spacing w:after="80" w:before="80"/>
      </w:pPr>
      <w:r>
        <w:rPr>
          <w:rFonts w:ascii="맑은 고딕" w:cs="맑은 고딕" w:eastAsia="맑은 고딕" w:hAnsi="맑은 고딕"/>
          <w:sz w:val="22"/>
          <w:szCs w:val="22"/>
        </w:rPr>
        <w:t xml:space="preserve">해외 파트너/채널 관리 담당자는 수출 영업팀 및 해외영업 기획팀과 긴밀하게 협력합니다. 수출 영업팀이 신규 바이어와 계약을 완료하면, 해당 바이어를 장기 파트너로 육성하는 역할을 인수인계받아 시작합니다. 월간 파트너 실적 리뷰 회의에서는 채널별·파트너별 매출 현황을 영업 기획팀과 공유하고, 채널 전략 방향에 맞는 파트너 관리 계획을 정렬합니다. 특히 새로운 시장 진입 시 영업 기획팀의 채널 믹스 전략에 따라 어떤 유형의 파트너를 우선 발굴할지 기준을 수립합니다.</w:t>
      </w:r>
    </w:p>
    <w:p>
      <w:r>
        <w:rPr>
          <w:rFonts w:ascii="맑은 고딕" w:cs="맑은 고딕" w:eastAsia="맑은 고딕" w:hAnsi="맑은 고딕"/>
          <w:sz w:val="22"/>
          <w:szCs w:val="22"/>
        </w:rPr>
        <w:t xml:space="preserve"/>
      </w:r>
    </w:p>
    <w:p>
      <w:pPr>
        <w:spacing w:after="80" w:before="80"/>
      </w:pPr>
      <w:r>
        <w:rPr>
          <w:rFonts w:ascii="맑은 고딕" w:cs="맑은 고딕" w:eastAsia="맑은 고딕" w:hAnsi="맑은 고딕"/>
          <w:sz w:val="22"/>
          <w:szCs w:val="22"/>
        </w:rPr>
        <w:t xml:space="preserve">마케팅팀과의 협업은 공동 마케팅 캠페인 기획 시 핵심적입니다. 현지 소비자에게 효과적으로 전달되는 현지화 소재를 마케팅팀과 공동 제작하며, 글로벌 캠페인 일정과 파트너 프로모션 일정을 조율하여 메시지 일관성을 유지합니다. 재무팀과는 파트너 인센티브 정산, 공동 마케팅 예산 분담, 파트너 미수금 관리를 협의하며, 파트너 계약 갱신 시 조건 변경이 수익성에 미치는 영향을 함께 검토합니다.</w:t>
      </w:r>
    </w:p>
    <w:p>
      <w:r>
        <w:rPr>
          <w:rFonts w:ascii="맑은 고딕" w:cs="맑은 고딕" w:eastAsia="맑은 고딕" w:hAnsi="맑은 고딕"/>
          <w:sz w:val="22"/>
          <w:szCs w:val="22"/>
        </w:rPr>
        <w:t xml:space="preserve"/>
      </w:r>
    </w:p>
    <w:p>
      <w:pPr>
        <w:spacing w:after="80" w:before="80"/>
      </w:pPr>
      <w:r>
        <w:rPr>
          <w:rFonts w:ascii="맑은 고딕" w:cs="맑은 고딕" w:eastAsia="맑은 고딕" w:hAnsi="맑은 고딕"/>
          <w:sz w:val="22"/>
          <w:szCs w:val="22"/>
        </w:rPr>
        <w:t xml:space="preserve">무역/통관 관리팀과는 파트너사 발주 이후 선적 서류, 원산지증명서, 통관 지원을 긴밀하게 협력합니다. 파트너가 현지 통관 과정에서 서류 문제나 규제 이슈에 직면했을 때 신속하게 대응할 수 있도록 무역팀과 즉각적인 정보 공유 체계를 유지합니다. 해외 CS/클레임 처리팀과는 파트너 경유로 접수된 고객 불만 및 반품 클레임을 공동으로 처리하며, 반복 발생하는 클레임 패턴을 파악해 파트너 교육 자료에 반영합니다.</w:t>
      </w:r>
    </w:p>
    <w:p>
      <w:r>
        <w:rPr>
          <w:rFonts w:ascii="맑은 고딕" w:cs="맑은 고딕" w:eastAsia="맑은 고딕" w:hAnsi="맑은 고딕"/>
          <w:sz w:val="22"/>
          <w:szCs w:val="22"/>
        </w:rPr>
        <w:t xml:space="preserve"/>
      </w:r>
    </w:p>
    <w:p>
      <w:r>
        <w:br w:type="page"/>
      </w:r>
    </w:p>
    <w:p>
      <w:pPr>
        <w:pStyle w:val="Heading1"/>
        <w:spacing w:after="120" w:before="240"/>
      </w:pPr>
      <w:r>
        <w:rPr>
          <w:rFonts w:ascii="맑은 고딕" w:cs="맑은 고딕" w:eastAsia="맑은 고딕" w:hAnsi="맑은 고딕"/>
          <w:b/>
          <w:bCs/>
          <w:color w:val="1F3864"/>
          <w:sz w:val="32"/>
          <w:szCs w:val="32"/>
        </w:rPr>
        <w:t xml:space="preserve">6장. 자주 발생하는 이슈 &amp; 해결책</w:t>
      </w:r>
    </w:p>
    <w:p>
      <w:pPr>
        <w:pStyle w:val="Heading3"/>
        <w:spacing w:after="80" w:before="160"/>
      </w:pPr>
      <w:r>
        <w:rPr>
          <w:rFonts w:ascii="맑은 고딕" w:cs="맑은 고딕" w:eastAsia="맑은 고딕" w:hAnsi="맑은 고딕"/>
          <w:b/>
          <w:bCs/>
          <w:color w:val="404040"/>
          <w:sz w:val="24"/>
          <w:szCs w:val="24"/>
        </w:rPr>
        <w:t xml:space="preserve">Q1: 해외 유통 파트너가 자의적으로 판매 가격을 낮춰 채널 간 가격 혼란이 발생했을 때</w:t>
      </w:r>
    </w:p>
    <w:p>
      <w:pPr>
        <w:spacing w:after="80" w:before="80"/>
      </w:pPr>
      <w:r>
        <w:rPr>
          <w:rFonts w:ascii="맑은 고딕" w:cs="맑은 고딕" w:eastAsia="맑은 고딕" w:hAnsi="맑은 고딕"/>
          <w:sz w:val="22"/>
          <w:szCs w:val="22"/>
        </w:rPr>
        <w:t xml:space="preserve">▶ 상황: 특정 해외 유통 파트너가 자사가 정한 최소 판매 가격(MAP: Minimum Advertised Price) 이하로 제품을 판매하여 다른 채널(자사몰·다른 파트너)과 가격 충돌이 발생하고, 브랜드 가치가 훼손될 위험에 처한 상황입니다.</w:t>
      </w:r>
    </w:p>
    <w:p>
      <w:pPr>
        <w:spacing w:after="80" w:before="80"/>
      </w:pPr>
      <w:r>
        <w:rPr>
          <w:rFonts w:ascii="맑은 고딕" w:cs="맑은 고딕" w:eastAsia="맑은 고딕" w:hAnsi="맑은 고딕"/>
          <w:sz w:val="22"/>
          <w:szCs w:val="22"/>
        </w:rPr>
        <w:t xml:space="preserve">▶ 원인: MAP 정책이 계약서에 명확히 규정되지 않았거나, 파트너가 재고 소진을 위해 임의로 가격을 인하한 경우입니다. 가격 모니터링 체계가 없어 조기에 감지하지 못한 것도 원인입니다.</w:t>
      </w:r>
    </w:p>
    <w:p>
      <w:pPr>
        <w:spacing w:after="80" w:before="80"/>
      </w:pPr>
      <w:r>
        <w:rPr>
          <w:rFonts w:ascii="맑은 고딕" w:cs="맑은 고딕" w:eastAsia="맑은 고딕" w:hAnsi="맑은 고딕"/>
          <w:sz w:val="22"/>
          <w:szCs w:val="22"/>
        </w:rPr>
        <w:t xml:space="preserve">▶ 해결 방법:</w:t>
      </w:r>
    </w:p>
    <w:p>
      <w:pPr>
        <w:pStyle w:val="ListParagraph"/>
        <w:numPr>
          <w:ilvl w:val="0"/>
          <w:numId w:val="2"/>
        </w:numPr>
        <w:spacing w:after="40" w:before="40"/>
      </w:pPr>
      <w:r>
        <w:rPr>
          <w:rFonts w:ascii="맑은 고딕" w:cs="맑은 고딕" w:eastAsia="맑은 고딕" w:hAnsi="맑은 고딕"/>
          <w:sz w:val="22"/>
          <w:szCs w:val="22"/>
        </w:rPr>
        <w:t xml:space="preserve">즉시 해당 파트너에게 연락하여 가격 인하 사실을 인지하고 있음을 정중하게 알림</w:t>
      </w:r>
    </w:p>
    <w:p>
      <w:pPr>
        <w:pStyle w:val="ListParagraph"/>
        <w:numPr>
          <w:ilvl w:val="0"/>
          <w:numId w:val="2"/>
        </w:numPr>
        <w:spacing w:after="40" w:before="40"/>
      </w:pPr>
      <w:r>
        <w:rPr>
          <w:rFonts w:ascii="맑은 고딕" w:cs="맑은 고딕" w:eastAsia="맑은 고딕" w:hAnsi="맑은 고딕"/>
          <w:sz w:val="22"/>
          <w:szCs w:val="22"/>
        </w:rPr>
        <w:t xml:space="preserve">MAP 정책 계약 조항을 근거로 가격 원상복구 요청(기한 48시간)</w:t>
      </w:r>
    </w:p>
    <w:p>
      <w:pPr>
        <w:pStyle w:val="ListParagraph"/>
        <w:numPr>
          <w:ilvl w:val="0"/>
          <w:numId w:val="2"/>
        </w:numPr>
        <w:spacing w:after="40" w:before="40"/>
      </w:pPr>
      <w:r>
        <w:rPr>
          <w:rFonts w:ascii="맑은 고딕" w:cs="맑은 고딕" w:eastAsia="맑은 고딕" w:hAnsi="맑은 고딕"/>
          <w:sz w:val="22"/>
          <w:szCs w:val="22"/>
        </w:rPr>
        <w:t xml:space="preserve">가격 모니터링 툴(Price2Spy·Skuuudle) 도입하여 상시 모니터링 체계 구축</w:t>
      </w:r>
    </w:p>
    <w:p>
      <w:pPr>
        <w:pStyle w:val="ListParagraph"/>
        <w:numPr>
          <w:ilvl w:val="0"/>
          <w:numId w:val="2"/>
        </w:numPr>
        <w:spacing w:after="40" w:before="40"/>
      </w:pPr>
      <w:r>
        <w:rPr>
          <w:rFonts w:ascii="맑은 고딕" w:cs="맑은 고딕" w:eastAsia="맑은 고딕" w:hAnsi="맑은 고딕"/>
          <w:sz w:val="22"/>
          <w:szCs w:val="22"/>
        </w:rPr>
        <w:t xml:space="preserve">전체 파트너에게 MAP 정책 재공지 및 위반 시 페널티 조항 명확화</w:t>
      </w:r>
    </w:p>
    <w:p>
      <w:pPr>
        <w:pStyle w:val="ListParagraph"/>
        <w:numPr>
          <w:ilvl w:val="0"/>
          <w:numId w:val="2"/>
        </w:numPr>
        <w:spacing w:after="40" w:before="40"/>
      </w:pPr>
      <w:r>
        <w:rPr>
          <w:rFonts w:ascii="맑은 고딕" w:cs="맑은 고딕" w:eastAsia="맑은 고딕" w:hAnsi="맑은 고딕"/>
          <w:sz w:val="22"/>
          <w:szCs w:val="22"/>
        </w:rPr>
        <w:t xml:space="preserve">계약서 갱신 시 MAP 조항 반드시 포함</w:t>
      </w:r>
    </w:p>
    <w:p>
      <w:r>
        <w:rPr>
          <w:rFonts w:ascii="맑은 고딕" w:cs="맑은 고딕" w:eastAsia="맑은 고딕" w:hAnsi="맑은 고딕"/>
          <w:sz w:val="22"/>
          <w:szCs w:val="22"/>
        </w:rPr>
        <w:t xml:space="preserve"/>
      </w:r>
    </w:p>
    <w:p>
      <w:pPr>
        <w:pStyle w:val="Heading3"/>
        <w:spacing w:after="80" w:before="160"/>
      </w:pPr>
      <w:r>
        <w:rPr>
          <w:rFonts w:ascii="맑은 고딕" w:cs="맑은 고딕" w:eastAsia="맑은 고딕" w:hAnsi="맑은 고딕"/>
          <w:b/>
          <w:bCs/>
          <w:color w:val="404040"/>
          <w:sz w:val="24"/>
          <w:szCs w:val="24"/>
        </w:rPr>
        <w:t xml:space="preserve">Q2: 플랫폼에서 부정 리뷰가 집중 발생하여 평점이 급락했을 때</w:t>
      </w:r>
    </w:p>
    <w:p>
      <w:pPr>
        <w:spacing w:after="80" w:before="80"/>
      </w:pPr>
      <w:r>
        <w:rPr>
          <w:rFonts w:ascii="맑은 고딕" w:cs="맑은 고딕" w:eastAsia="맑은 고딕" w:hAnsi="맑은 고딕"/>
          <w:sz w:val="22"/>
          <w:szCs w:val="22"/>
        </w:rPr>
        <w:t xml:space="preserve">▶ 상황: Amazon 또는 Lazada에서 짧은 기간 내 1~2점 리뷰가 다수 등록되어 평균 평점이 4.5점에서 3.8점으로 급락, 판매량이 30% 이상 감소한 상황입니다.</w:t>
      </w:r>
    </w:p>
    <w:p>
      <w:pPr>
        <w:spacing w:after="80" w:before="80"/>
      </w:pPr>
      <w:r>
        <w:rPr>
          <w:rFonts w:ascii="맑은 고딕" w:cs="맑은 고딕" w:eastAsia="맑은 고딕" w:hAnsi="맑은 고딕"/>
          <w:sz w:val="22"/>
          <w:szCs w:val="22"/>
        </w:rPr>
        <w:t xml:space="preserve">▶ 원인: 실제 제품 불량 또는 배송 문제로 인한 진성 부정 리뷰일 수 있으며, 경쟁사의 조직적인 악성 리뷰 공격 가능성도 있습니다.</w:t>
      </w:r>
    </w:p>
    <w:p>
      <w:pPr>
        <w:spacing w:after="80" w:before="80"/>
      </w:pPr>
      <w:r>
        <w:rPr>
          <w:rFonts w:ascii="맑은 고딕" w:cs="맑은 고딕" w:eastAsia="맑은 고딕" w:hAnsi="맑은 고딕"/>
          <w:sz w:val="22"/>
          <w:szCs w:val="22"/>
        </w:rPr>
        <w:t xml:space="preserve">▶ 해결 방법:</w:t>
      </w:r>
    </w:p>
    <w:p>
      <w:pPr>
        <w:pStyle w:val="ListParagraph"/>
        <w:numPr>
          <w:ilvl w:val="0"/>
          <w:numId w:val="2"/>
        </w:numPr>
        <w:spacing w:after="40" w:before="40"/>
      </w:pPr>
      <w:r>
        <w:rPr>
          <w:rFonts w:ascii="맑은 고딕" w:cs="맑은 고딕" w:eastAsia="맑은 고딕" w:hAnsi="맑은 고딕"/>
          <w:sz w:val="22"/>
          <w:szCs w:val="22"/>
        </w:rPr>
        <w:t xml:space="preserve">최근 부정 리뷰 내용 분석: 동일 패턴(동일 표현·계정 생성일) 여부 확인</w:t>
      </w:r>
    </w:p>
    <w:p>
      <w:pPr>
        <w:pStyle w:val="ListParagraph"/>
        <w:numPr>
          <w:ilvl w:val="0"/>
          <w:numId w:val="2"/>
        </w:numPr>
        <w:spacing w:after="40" w:before="40"/>
      </w:pPr>
      <w:r>
        <w:rPr>
          <w:rFonts w:ascii="맑은 고딕" w:cs="맑은 고딕" w:eastAsia="맑은 고딕" w:hAnsi="맑은 고딕"/>
          <w:sz w:val="22"/>
          <w:szCs w:val="22"/>
        </w:rPr>
        <w:t xml:space="preserve">진성 불만 리뷰는 CS팀과 협력해 개별 고객 연락 및 문제 해결 후 리뷰 수정 요청</w:t>
      </w:r>
    </w:p>
    <w:p>
      <w:pPr>
        <w:pStyle w:val="ListParagraph"/>
        <w:numPr>
          <w:ilvl w:val="0"/>
          <w:numId w:val="2"/>
        </w:numPr>
        <w:spacing w:after="40" w:before="40"/>
      </w:pPr>
      <w:r>
        <w:rPr>
          <w:rFonts w:ascii="맑은 고딕" w:cs="맑은 고딕" w:eastAsia="맑은 고딕" w:hAnsi="맑은 고딕"/>
          <w:sz w:val="22"/>
          <w:szCs w:val="22"/>
        </w:rPr>
        <w:t xml:space="preserve">허위·악성 리뷰 의심 시 플랫폼에 공식 신고 및 삭제 요청</w:t>
      </w:r>
    </w:p>
    <w:p>
      <w:pPr>
        <w:pStyle w:val="ListParagraph"/>
        <w:numPr>
          <w:ilvl w:val="0"/>
          <w:numId w:val="2"/>
        </w:numPr>
        <w:spacing w:after="40" w:before="40"/>
      </w:pPr>
      <w:r>
        <w:rPr>
          <w:rFonts w:ascii="맑은 고딕" w:cs="맑은 고딕" w:eastAsia="맑은 고딕" w:hAnsi="맑은 고딕"/>
          <w:sz w:val="22"/>
          <w:szCs w:val="22"/>
        </w:rPr>
        <w:t xml:space="preserve">기존 구매 고객 대상 리뷰 요청 캠페인 진행(진성 리뷰 확보)</w:t>
      </w:r>
    </w:p>
    <w:p>
      <w:pPr>
        <w:pStyle w:val="ListParagraph"/>
        <w:numPr>
          <w:ilvl w:val="0"/>
          <w:numId w:val="2"/>
        </w:numPr>
        <w:spacing w:after="40" w:before="40"/>
      </w:pPr>
      <w:r>
        <w:rPr>
          <w:rFonts w:ascii="맑은 고딕" w:cs="맑은 고딕" w:eastAsia="맑은 고딕" w:hAnsi="맑은 고딕"/>
          <w:sz w:val="22"/>
          <w:szCs w:val="22"/>
        </w:rPr>
        <w:t xml:space="preserve">제품 품질 이슈 확인 시 QC팀과 즉시 원인 파악 및 개선</w:t>
      </w:r>
    </w:p>
    <w:p>
      <w:r>
        <w:rPr>
          <w:rFonts w:ascii="맑은 고딕" w:cs="맑은 고딕" w:eastAsia="맑은 고딕" w:hAnsi="맑은 고딕"/>
          <w:sz w:val="22"/>
          <w:szCs w:val="22"/>
        </w:rPr>
        <w:t xml:space="preserve"/>
      </w:r>
    </w:p>
    <w:p>
      <w:pPr>
        <w:pStyle w:val="Heading3"/>
        <w:spacing w:after="80" w:before="160"/>
      </w:pPr>
      <w:r>
        <w:rPr>
          <w:rFonts w:ascii="맑은 고딕" w:cs="맑은 고딕" w:eastAsia="맑은 고딕" w:hAnsi="맑은 고딕"/>
          <w:b/>
          <w:bCs/>
          <w:color w:val="404040"/>
          <w:sz w:val="24"/>
          <w:szCs w:val="24"/>
        </w:rPr>
        <w:t xml:space="preserve">Q3: 핵심 파트너가 계약 갱신을 거부하고 경쟁사로 전환하려 할 때</w:t>
      </w:r>
    </w:p>
    <w:p>
      <w:pPr>
        <w:spacing w:after="80" w:before="80"/>
      </w:pPr>
      <w:r>
        <w:rPr>
          <w:rFonts w:ascii="맑은 고딕" w:cs="맑은 고딕" w:eastAsia="맑은 고딕" w:hAnsi="맑은 고딕"/>
          <w:sz w:val="22"/>
          <w:szCs w:val="22"/>
        </w:rPr>
        <w:t xml:space="preserve">▶ 상황: 현지 매출의 40%를 담당하는 핵심 유통 파트너가 계약 만료 60일을 앞두고 갱신 거부 의사를 밝히며 경쟁사 브랜드 전환을 검토 중임을 알게 된 상황입니다.</w:t>
      </w:r>
    </w:p>
    <w:p>
      <w:pPr>
        <w:spacing w:after="80" w:before="80"/>
      </w:pPr>
      <w:r>
        <w:rPr>
          <w:rFonts w:ascii="맑은 고딕" w:cs="맑은 고딕" w:eastAsia="맑은 고딕" w:hAnsi="맑은 고딕"/>
          <w:sz w:val="22"/>
          <w:szCs w:val="22"/>
        </w:rPr>
        <w:t xml:space="preserve">▶ 원인: 마진율 불만, 자사 지원 부족(마케팅 예산·납기), 또는 경쟁사의 더 유리한 조건 제안이 원인일 수 있습니다.</w:t>
      </w:r>
    </w:p>
    <w:p>
      <w:pPr>
        <w:spacing w:after="80" w:before="80"/>
      </w:pPr>
      <w:r>
        <w:rPr>
          <w:rFonts w:ascii="맑은 고딕" w:cs="맑은 고딕" w:eastAsia="맑은 고딕" w:hAnsi="맑은 고딕"/>
          <w:sz w:val="22"/>
          <w:szCs w:val="22"/>
        </w:rPr>
        <w:t xml:space="preserve">▶ 해결 방법:</w:t>
      </w:r>
    </w:p>
    <w:p>
      <w:pPr>
        <w:pStyle w:val="ListParagraph"/>
        <w:numPr>
          <w:ilvl w:val="0"/>
          <w:numId w:val="2"/>
        </w:numPr>
        <w:spacing w:after="40" w:before="40"/>
      </w:pPr>
      <w:r>
        <w:rPr>
          <w:rFonts w:ascii="맑은 고딕" w:cs="맑은 고딕" w:eastAsia="맑은 고딕" w:hAnsi="맑은 고딕"/>
          <w:sz w:val="22"/>
          <w:szCs w:val="22"/>
        </w:rPr>
        <w:t xml:space="preserve">파트너 담당자와 긴급 화상 미팅 요청: 갱신 거부 이유 솔직하게 청취</w:t>
      </w:r>
    </w:p>
    <w:p>
      <w:pPr>
        <w:pStyle w:val="ListParagraph"/>
        <w:numPr>
          <w:ilvl w:val="0"/>
          <w:numId w:val="2"/>
        </w:numPr>
        <w:spacing w:after="40" w:before="40"/>
      </w:pPr>
      <w:r>
        <w:rPr>
          <w:rFonts w:ascii="맑은 고딕" w:cs="맑은 고딕" w:eastAsia="맑은 고딕" w:hAnsi="맑은 고딕"/>
          <w:sz w:val="22"/>
          <w:szCs w:val="22"/>
        </w:rPr>
        <w:t xml:space="preserve">핵심 불만 사항 파악 후 개선 가능한 조건(마진율 조정·마케팅 예산 지원) 제시</w:t>
      </w:r>
    </w:p>
    <w:p>
      <w:pPr>
        <w:pStyle w:val="ListParagraph"/>
        <w:numPr>
          <w:ilvl w:val="0"/>
          <w:numId w:val="2"/>
        </w:numPr>
        <w:spacing w:after="40" w:before="40"/>
      </w:pPr>
      <w:r>
        <w:rPr>
          <w:rFonts w:ascii="맑은 고딕" w:cs="맑은 고딕" w:eastAsia="맑은 고딕" w:hAnsi="맑은 고딕"/>
          <w:sz w:val="22"/>
          <w:szCs w:val="22"/>
        </w:rPr>
        <w:t xml:space="preserve">독점 지역 확대 또는 신제품 우선 공급권 등 특별 혜택 제안</w:t>
      </w:r>
    </w:p>
    <w:p>
      <w:pPr>
        <w:pStyle w:val="ListParagraph"/>
        <w:numPr>
          <w:ilvl w:val="0"/>
          <w:numId w:val="2"/>
        </w:numPr>
        <w:spacing w:after="40" w:before="40"/>
      </w:pPr>
      <w:r>
        <w:rPr>
          <w:rFonts w:ascii="맑은 고딕" w:cs="맑은 고딕" w:eastAsia="맑은 고딕" w:hAnsi="맑은 고딕"/>
          <w:sz w:val="22"/>
          <w:szCs w:val="22"/>
        </w:rPr>
        <w:t xml:space="preserve">경영진 승인을 받아 최대한 유연한 조건으로 역제안</w:t>
      </w:r>
    </w:p>
    <w:p>
      <w:pPr>
        <w:pStyle w:val="ListParagraph"/>
        <w:numPr>
          <w:ilvl w:val="0"/>
          <w:numId w:val="2"/>
        </w:numPr>
        <w:spacing w:after="40" w:before="40"/>
      </w:pPr>
      <w:r>
        <w:rPr>
          <w:rFonts w:ascii="맑은 고딕" w:cs="맑은 고딕" w:eastAsia="맑은 고딕" w:hAnsi="맑은 고딕"/>
          <w:sz w:val="22"/>
          <w:szCs w:val="22"/>
        </w:rPr>
        <w:t xml:space="preserve">최종 거절 시 대체 파트너 발굴 즉시 착수 및 거래 이전 계획 수립</w:t>
      </w:r>
    </w:p>
    <w:p>
      <w:r>
        <w:rPr>
          <w:rFonts w:ascii="맑은 고딕" w:cs="맑은 고딕" w:eastAsia="맑은 고딕" w:hAnsi="맑은 고딕"/>
          <w:sz w:val="22"/>
          <w:szCs w:val="22"/>
        </w:rPr>
        <w:t xml:space="preserve"/>
      </w:r>
    </w:p>
    <w:p>
      <w:pPr>
        <w:pStyle w:val="Heading3"/>
        <w:spacing w:after="80" w:before="160"/>
      </w:pPr>
      <w:r>
        <w:rPr>
          <w:rFonts w:ascii="맑은 고딕" w:cs="맑은 고딕" w:eastAsia="맑은 고딕" w:hAnsi="맑은 고딕"/>
          <w:b/>
          <w:bCs/>
          <w:color w:val="404040"/>
          <w:sz w:val="24"/>
          <w:szCs w:val="24"/>
        </w:rPr>
        <w:t xml:space="preserve">Q4: 플랫폼 정책 변경으로 기존 리스팅이 삭제 위기에 처했을 때</w:t>
      </w:r>
    </w:p>
    <w:p>
      <w:pPr>
        <w:spacing w:after="80" w:before="80"/>
      </w:pPr>
      <w:r>
        <w:rPr>
          <w:rFonts w:ascii="맑은 고딕" w:cs="맑은 고딕" w:eastAsia="맑은 고딕" w:hAnsi="맑은 고딕"/>
          <w:sz w:val="22"/>
          <w:szCs w:val="22"/>
        </w:rPr>
        <w:t xml:space="preserve">▶ 상황: Amazon이 특정 성분·표현에 대한 리스팅 정책을 강화하여 자사 제품 리스팅 15개 중 8개가 정책 위반 경고를 받고 7일 내 수정하지 않으면 삭제된다는 통보를 받은 상황입니다.</w:t>
      </w:r>
    </w:p>
    <w:p>
      <w:pPr>
        <w:spacing w:after="80" w:before="80"/>
      </w:pPr>
      <w:r>
        <w:rPr>
          <w:rFonts w:ascii="맑은 고딕" w:cs="맑은 고딕" w:eastAsia="맑은 고딕" w:hAnsi="맑은 고딕"/>
          <w:sz w:val="22"/>
          <w:szCs w:val="22"/>
        </w:rPr>
        <w:t xml:space="preserve">▶ 원인: 플랫폼 정책 변경 사항을 사전에 인지하지 못했거나, 리스팅 내 성분 표기·헬스 클레임 표현이 해당 국가 규정을 위반한 경우입니다.</w:t>
      </w:r>
    </w:p>
    <w:p>
      <w:pPr>
        <w:spacing w:after="80" w:before="80"/>
      </w:pPr>
      <w:r>
        <w:rPr>
          <w:rFonts w:ascii="맑은 고딕" w:cs="맑은 고딕" w:eastAsia="맑은 고딕" w:hAnsi="맑은 고딕"/>
          <w:sz w:val="22"/>
          <w:szCs w:val="22"/>
        </w:rPr>
        <w:t xml:space="preserve">▶ 해결 방법:</w:t>
      </w:r>
    </w:p>
    <w:p>
      <w:pPr>
        <w:pStyle w:val="ListParagraph"/>
        <w:numPr>
          <w:ilvl w:val="0"/>
          <w:numId w:val="2"/>
        </w:numPr>
        <w:spacing w:after="40" w:before="40"/>
      </w:pPr>
      <w:r>
        <w:rPr>
          <w:rFonts w:ascii="맑은 고딕" w:cs="맑은 고딕" w:eastAsia="맑은 고딕" w:hAnsi="맑은 고딕"/>
          <w:sz w:val="22"/>
          <w:szCs w:val="22"/>
        </w:rPr>
        <w:t xml:space="preserve">문제 리스팅 전체 목록화 및 위반 항목별 수정 우선순위 설정</w:t>
      </w:r>
    </w:p>
    <w:p>
      <w:pPr>
        <w:pStyle w:val="ListParagraph"/>
        <w:numPr>
          <w:ilvl w:val="0"/>
          <w:numId w:val="2"/>
        </w:numPr>
        <w:spacing w:after="40" w:before="40"/>
      </w:pPr>
      <w:r>
        <w:rPr>
          <w:rFonts w:ascii="맑은 고딕" w:cs="맑은 고딕" w:eastAsia="맑은 고딕" w:hAnsi="맑은 고딕"/>
          <w:sz w:val="22"/>
          <w:szCs w:val="22"/>
        </w:rPr>
        <w:t xml:space="preserve">무역/통관팀·마케팅팀과 긴급 협의: 수정 가능한 표현·성분 표기 방향 결정</w:t>
      </w:r>
    </w:p>
    <w:p>
      <w:pPr>
        <w:pStyle w:val="ListParagraph"/>
        <w:numPr>
          <w:ilvl w:val="0"/>
          <w:numId w:val="2"/>
        </w:numPr>
        <w:spacing w:after="40" w:before="40"/>
      </w:pPr>
      <w:r>
        <w:rPr>
          <w:rFonts w:ascii="맑은 고딕" w:cs="맑은 고딕" w:eastAsia="맑은 고딕" w:hAnsi="맑은 고딕"/>
          <w:sz w:val="22"/>
          <w:szCs w:val="22"/>
        </w:rPr>
        <w:t xml:space="preserve">7일 기한 내 모든 리스팅 수정 완료</w:t>
      </w:r>
    </w:p>
    <w:p>
      <w:pPr>
        <w:pStyle w:val="ListParagraph"/>
        <w:numPr>
          <w:ilvl w:val="0"/>
          <w:numId w:val="2"/>
        </w:numPr>
        <w:spacing w:after="40" w:before="40"/>
      </w:pPr>
      <w:r>
        <w:rPr>
          <w:rFonts w:ascii="맑은 고딕" w:cs="맑은 고딕" w:eastAsia="맑은 고딕" w:hAnsi="맑은 고딕"/>
          <w:sz w:val="22"/>
          <w:szCs w:val="22"/>
        </w:rPr>
        <w:t xml:space="preserve">플랫폼 정책 변경 알림 구독 체계 구축(Amazon Seller News·정책 블로그)</w:t>
      </w:r>
    </w:p>
    <w:p>
      <w:pPr>
        <w:pStyle w:val="ListParagraph"/>
        <w:numPr>
          <w:ilvl w:val="0"/>
          <w:numId w:val="2"/>
        </w:numPr>
        <w:spacing w:after="40" w:before="40"/>
      </w:pPr>
      <w:r>
        <w:rPr>
          <w:rFonts w:ascii="맑은 고딕" w:cs="맑은 고딕" w:eastAsia="맑은 고딕" w:hAnsi="맑은 고딕"/>
          <w:sz w:val="22"/>
          <w:szCs w:val="22"/>
        </w:rPr>
        <w:t xml:space="preserve">전체 리스팅 분기별 정책 준수 여부 정기 점검 프로세스 수립</w:t>
      </w:r>
    </w:p>
    <w:p>
      <w:r>
        <w:rPr>
          <w:rFonts w:ascii="맑은 고딕" w:cs="맑은 고딕" w:eastAsia="맑은 고딕" w:hAnsi="맑은 고딕"/>
          <w:sz w:val="22"/>
          <w:szCs w:val="22"/>
        </w:rPr>
        <w:t xml:space="preserve"/>
      </w:r>
    </w:p>
    <w:p>
      <w:pPr>
        <w:pStyle w:val="Heading3"/>
        <w:spacing w:after="80" w:before="160"/>
      </w:pPr>
      <w:r>
        <w:rPr>
          <w:rFonts w:ascii="맑은 고딕" w:cs="맑은 고딕" w:eastAsia="맑은 고딕" w:hAnsi="맑은 고딕"/>
          <w:b/>
          <w:bCs/>
          <w:color w:val="404040"/>
          <w:sz w:val="24"/>
          <w:szCs w:val="24"/>
        </w:rPr>
        <w:t xml:space="preserve">Q5: 파트너사가 약정 매출 목표를 3개월 연속 50% 이하로 미달할 때</w:t>
      </w:r>
    </w:p>
    <w:p>
      <w:pPr>
        <w:spacing w:after="80" w:before="80"/>
      </w:pPr>
      <w:r>
        <w:rPr>
          <w:rFonts w:ascii="맑은 고딕" w:cs="맑은 고딕" w:eastAsia="맑은 고딕" w:hAnsi="맑은 고딕"/>
          <w:sz w:val="22"/>
          <w:szCs w:val="22"/>
        </w:rPr>
        <w:t xml:space="preserve">▶ 상황: 특정 파트너사가 분기 매출 목표 1억 원 중 3개월 연속 4~5천만 원 수준에 머물러 있으며, 원인 파악이 되지 않고 있는 상황입니다.</w:t>
      </w:r>
    </w:p>
    <w:p>
      <w:pPr>
        <w:spacing w:after="80" w:before="80"/>
      </w:pPr>
      <w:r>
        <w:rPr>
          <w:rFonts w:ascii="맑은 고딕" w:cs="맑은 고딕" w:eastAsia="맑은 고딕" w:hAnsi="맑은 고딕"/>
          <w:sz w:val="22"/>
          <w:szCs w:val="22"/>
        </w:rPr>
        <w:t xml:space="preserve">▶ 원인: 파트너의 영업력 부족, 현지 시장 환경 악화, 자사 제품 경쟁력 저하, 또는 파트너가 경쟁사 제품에 집중하고 있을 가능성이 있습니다.</w:t>
      </w:r>
    </w:p>
    <w:p>
      <w:pPr>
        <w:spacing w:after="80" w:before="80"/>
      </w:pPr>
      <w:r>
        <w:rPr>
          <w:rFonts w:ascii="맑은 고딕" w:cs="맑은 고딕" w:eastAsia="맑은 고딕" w:hAnsi="맑은 고딕"/>
          <w:sz w:val="22"/>
          <w:szCs w:val="22"/>
        </w:rPr>
        <w:t xml:space="preserve">▶ 해결 방법:</w:t>
      </w:r>
    </w:p>
    <w:p>
      <w:pPr>
        <w:pStyle w:val="ListParagraph"/>
        <w:numPr>
          <w:ilvl w:val="0"/>
          <w:numId w:val="2"/>
        </w:numPr>
        <w:spacing w:after="40" w:before="40"/>
      </w:pPr>
      <w:r>
        <w:rPr>
          <w:rFonts w:ascii="맑은 고딕" w:cs="맑은 고딕" w:eastAsia="맑은 고딕" w:hAnsi="맑은 고딕"/>
          <w:sz w:val="22"/>
          <w:szCs w:val="22"/>
        </w:rPr>
        <w:t xml:space="preserve">파트너와 긴급 성과 리뷰 미팅: 현지 판매 현황·재고 현황·고객 피드백 청취</w:t>
      </w:r>
    </w:p>
    <w:p>
      <w:pPr>
        <w:pStyle w:val="ListParagraph"/>
        <w:numPr>
          <w:ilvl w:val="0"/>
          <w:numId w:val="2"/>
        </w:numPr>
        <w:spacing w:after="40" w:before="40"/>
      </w:pPr>
      <w:r>
        <w:rPr>
          <w:rFonts w:ascii="맑은 고딕" w:cs="맑은 고딕" w:eastAsia="맑은 고딕" w:hAnsi="맑은 고딕"/>
          <w:sz w:val="22"/>
          <w:szCs w:val="22"/>
        </w:rPr>
        <w:t xml:space="preserve">파트너의 자사 제품 판매 집중도 확인(다른 브랜드 대비 시간·자원 배분)</w:t>
      </w:r>
    </w:p>
    <w:p>
      <w:pPr>
        <w:pStyle w:val="ListParagraph"/>
        <w:numPr>
          <w:ilvl w:val="0"/>
          <w:numId w:val="2"/>
        </w:numPr>
        <w:spacing w:after="40" w:before="40"/>
      </w:pPr>
      <w:r>
        <w:rPr>
          <w:rFonts w:ascii="맑은 고딕" w:cs="맑은 고딕" w:eastAsia="맑은 고딕" w:hAnsi="맑은 고딕"/>
          <w:sz w:val="22"/>
          <w:szCs w:val="22"/>
        </w:rPr>
        <w:t xml:space="preserve">현지 시장 환경 변화(경쟁사 신제품·가격 인하) 파악</w:t>
      </w:r>
    </w:p>
    <w:p>
      <w:pPr>
        <w:pStyle w:val="ListParagraph"/>
        <w:numPr>
          <w:ilvl w:val="0"/>
          <w:numId w:val="2"/>
        </w:numPr>
        <w:spacing w:after="40" w:before="40"/>
      </w:pPr>
      <w:r>
        <w:rPr>
          <w:rFonts w:ascii="맑은 고딕" w:cs="맑은 고딕" w:eastAsia="맑은 고딕" w:hAnsi="맑은 고딕"/>
          <w:sz w:val="22"/>
          <w:szCs w:val="22"/>
        </w:rPr>
        <w:t xml:space="preserve">단기 부진 시 집중 지원(공동 마케팅 예산·영업 교육) 제공</w:t>
      </w:r>
    </w:p>
    <w:p>
      <w:pPr>
        <w:pStyle w:val="ListParagraph"/>
        <w:numPr>
          <w:ilvl w:val="0"/>
          <w:numId w:val="2"/>
        </w:numPr>
        <w:spacing w:after="40" w:before="40"/>
      </w:pPr>
      <w:r>
        <w:rPr>
          <w:rFonts w:ascii="맑은 고딕" w:cs="맑은 고딕" w:eastAsia="맑은 고딕" w:hAnsi="맑은 고딕"/>
          <w:sz w:val="22"/>
          <w:szCs w:val="22"/>
        </w:rPr>
        <w:t xml:space="preserve">3개월 추가 관찰 후에도 개선 없을 시 계약 종료 및 대체 파트너 발굴 착수</w:t>
      </w:r>
    </w:p>
    <w:p>
      <w:r>
        <w:rPr>
          <w:rFonts w:ascii="맑은 고딕" w:cs="맑은 고딕" w:eastAsia="맑은 고딕" w:hAnsi="맑은 고딕"/>
          <w:sz w:val="22"/>
          <w:szCs w:val="22"/>
        </w:rPr>
        <w:t xml:space="preserve"/>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640" w:hanging="360"/>
      </w:pPr>
    </w:lvl>
  </w:abstractNum>
  <w:abstractNum w:abstractNumId="3" w15:restartNumberingAfterBreak="0">
    <w:multiLevelType w:val="hybridMultilevel"/>
    <w:lvl w:ilvl="0" w15:tentative="1">
      <w:start w:val="1"/>
      <w:numFmt w:val="bullet"/>
      <w:lvlText w:val="•"/>
      <w:lvlJc w:val="left"/>
      <w:pPr>
        <w:ind w:left="6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cs="맑은 고딕" w:eastAsia="맑은 고딕" w:hAnsi="맑은 고딕"/>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맑은 고딕" w:cs="맑은 고딕" w:eastAsia="맑은 고딕" w:hAnsi="맑은 고딕"/>
      <w:b/>
      <w:bCs/>
      <w:color w:val="1F3864"/>
      <w:sz w:val="32"/>
      <w:szCs w:val="32"/>
    </w:rPr>
  </w:style>
  <w:style w:type="paragraph" w:styleId="Heading2">
    <w:name w:val="Heading 2"/>
    <w:basedOn w:val="Normal"/>
    <w:next w:val="Normal"/>
    <w:qFormat/>
    <w:pPr>
      <w:spacing w:after="100" w:before="200"/>
      <w:outlineLvl w:val="1"/>
    </w:pPr>
    <w:rPr>
      <w:rFonts w:ascii="맑은 고딕" w:cs="맑은 고딕" w:eastAsia="맑은 고딕" w:hAnsi="맑은 고딕"/>
      <w:b/>
      <w:bCs/>
      <w:color w:val="2E75B6"/>
      <w:sz w:val="28"/>
      <w:szCs w:val="28"/>
    </w:rPr>
  </w:style>
  <w:style w:type="paragraph" w:styleId="Heading3">
    <w:name w:val="Heading 3"/>
    <w:basedOn w:val="Normal"/>
    <w:next w:val="Normal"/>
    <w:qFormat/>
    <w:pPr>
      <w:spacing w:after="80" w:before="160"/>
      <w:outlineLvl w:val="2"/>
    </w:pPr>
    <w:rPr>
      <w:rFonts w:ascii="맑은 고딕" w:cs="맑은 고딕" w:eastAsia="맑은 고딕" w:hAnsi="맑은 고딕"/>
      <w:b/>
      <w:bCs/>
      <w:color w:val="4040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2026-05-16T15:17:57.266Z</dcterms:created>
  <dcterms:modified xsi:type="dcterms:W3CDTF">2026-05-16T15:17:57.266Z</dcterms:modified>
</cp:coreProperties>
</file>

<file path=docProps/custom.xml><?xml version="1.0" encoding="utf-8"?>
<Properties xmlns="http://schemas.openxmlformats.org/officeDocument/2006/custom-properties" xmlns:vt="http://schemas.openxmlformats.org/officeDocument/2006/docPropsVTypes"/>
</file>