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
      </w:r>
    </w:p>
    <w:p>
      <w:r>
        <w:t xml:space="preserve"/>
      </w:r>
    </w:p>
    <w:p>
      <w:r>
        <w:t xml:space="preserve"/>
      </w:r>
    </w:p>
    <w:p>
      <w:pPr>
        <w:spacing w:after="400" w:before="2000"/>
        <w:jc w:val="center"/>
      </w:pPr>
      <w:r>
        <w:rPr>
          <w:rFonts w:ascii="맑은 고딕" w:cs="맑은 고딕" w:eastAsia="맑은 고딕" w:hAnsi="맑은 고딕"/>
          <w:b/>
          <w:bCs/>
          <w:color w:val="1F3864"/>
          <w:sz w:val="48"/>
          <w:szCs w:val="48"/>
        </w:rPr>
        <w:t xml:space="preserve">수출 영업(지역담당) 업무 매뉴얼</w:t>
      </w:r>
    </w:p>
    <w:p>
      <w:pPr>
        <w:spacing w:after="240"/>
        <w:jc w:val="center"/>
      </w:pPr>
      <w:r>
        <w:rPr>
          <w:rFonts w:ascii="맑은 고딕" w:cs="맑은 고딕" w:eastAsia="맑은 고딕" w:hAnsi="맑은 고딕"/>
          <w:color w:val="2E75B6"/>
          <w:sz w:val="28"/>
          <w:szCs w:val="28"/>
        </w:rPr>
        <w:t xml:space="preserve">B2C 중소기업 해외영업팀 업무 매뉴얼</w:t>
      </w:r>
    </w:p>
    <w:p>
      <w:pPr>
        <w:jc w:val="center"/>
      </w:pPr>
      <w:r>
        <w:rPr>
          <w:rFonts w:ascii="맑은 고딕" w:cs="맑은 고딕" w:eastAsia="맑은 고딕" w:hAnsi="맑은 고딕"/>
          <w:color w:val="404040"/>
          <w:sz w:val="24"/>
          <w:szCs w:val="24"/>
        </w:rPr>
        <w:t xml:space="preserve">버전: v1.0 | 2025년</w:t>
      </w:r>
    </w:p>
    <w:p>
      <w:r>
        <w:br w:type="page"/>
      </w:r>
    </w:p>
    <w:p>
      <w:pPr>
        <w:pStyle w:val="Heading1"/>
      </w:pPr>
      <w:r>
        <w:rPr>
          <w:rFonts w:ascii="맑은 고딕" w:cs="맑은 고딕" w:eastAsia="맑은 고딕" w:hAnsi="맑은 고딕"/>
          <w:b/>
          <w:bCs/>
          <w:color w:val="1F3864"/>
          <w:sz w:val="32"/>
          <w:szCs w:val="32"/>
        </w:rPr>
        <w:t xml:space="preserve">1장. 직무 개요</w:t>
      </w:r>
    </w:p>
    <w:p>
      <w:pPr>
        <w:pStyle w:val="Heading2"/>
      </w:pPr>
      <w:r>
        <w:rPr>
          <w:rFonts w:ascii="맑은 고딕" w:cs="맑은 고딕" w:eastAsia="맑은 고딕" w:hAnsi="맑은 고딕"/>
          <w:b/>
          <w:bCs/>
          <w:color w:val="2E75B6"/>
          <w:sz w:val="28"/>
          <w:szCs w:val="28"/>
        </w:rPr>
        <w:t xml:space="preserve">1.1 직무 정의 및 역할</w:t>
      </w:r>
    </w:p>
    <w:p>
      <w:pPr>
        <w:spacing w:after="120"/>
      </w:pPr>
      <w:r>
        <w:rPr>
          <w:rFonts w:ascii="맑은 고딕" w:cs="맑은 고딕" w:eastAsia="맑은 고딕" w:hAnsi="맑은 고딕"/>
          <w:sz w:val="22"/>
          <w:szCs w:val="22"/>
        </w:rPr>
        <w:t xml:space="preserve">수출 영업 지역담당자는 담당 지역(미주·유럽·일본·동남아 등)의 B2B 바이어를 직접 개발하고, Amazon·라쿠텐·Lazada 등 플랫폼 채널을 운영하며, 발주부터 납품·관계 유지까지 해외 영업 최전선을 담당합니다. B2C 직접 수출의 경우 플랫폼 알고리즘 최적화와 광고 운영을 병행하며, B2B 도매 수출은 샘플 발송부터 계약 체결·재발주 유도까지 전 과정을 직접 관리합니다.</w:t>
      </w:r>
    </w:p>
    <w:p>
      <w:pPr>
        <w:spacing w:after="120"/>
      </w:pPr>
      <w:r>
        <w:rPr>
          <w:rFonts w:ascii="맑은 고딕" w:cs="맑은 고딕" w:eastAsia="맑은 고딕" w:hAnsi="맑은 고딕"/>
          <w:sz w:val="22"/>
          <w:szCs w:val="22"/>
        </w:rPr>
        <w:t xml:space="preserve">현지 시장과 문화에 대한 깊은 이해를 바탕으로 바이어와 신뢰 관계를 구축하고, 장기적인 수출 거래처를 육성하는 것이 이 직무의 핵심 가치입니다.</w:t>
      </w:r>
    </w:p>
    <w:p>
      <w:pPr>
        <w:pStyle w:val="Heading2"/>
      </w:pPr>
      <w:r>
        <w:rPr>
          <w:rFonts w:ascii="맑은 고딕" w:cs="맑은 고딕" w:eastAsia="맑은 고딕" w:hAnsi="맑은 고딕"/>
          <w:b/>
          <w:bCs/>
          <w:color w:val="2E75B6"/>
          <w:sz w:val="28"/>
          <w:szCs w:val="28"/>
        </w:rPr>
        <w:t xml:space="preserve">1.2 협업 구조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2500"/>
        <w:gridCol w:w="2138"/>
      </w:tblGrid>
      <w:tr>
        <w:tc>
          <w:tcPr>
            <w:tcW w:type="dxa" w:w="2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협업 부서/직무</w:t>
            </w:r>
          </w:p>
        </w:tc>
        <w:tc>
          <w:tcPr>
            <w:tcW w:type="dxa" w:w="2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협업 내용</w:t>
            </w:r>
          </w:p>
        </w:tc>
        <w:tc>
          <w:tcPr>
            <w:tcW w:type="dxa" w:w="2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협업 주기</w:t>
            </w:r>
          </w:p>
        </w:tc>
        <w:tc>
          <w:tcPr>
            <w:tcW w:type="dxa" w:w="21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비고</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해외영업 기획/전략</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지역별 목표 수령 및 실적 보고</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무역/통관 관리</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선적 서류·인증서·HS코드 협의</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건별</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해외 파트너/채널 관리</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담당 지역 파트너 공동 관리</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해외 CS/클레임 처리</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고객 클레임 및 반품 처리 협의</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건별</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마케팅팀</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현지 마케팅 캠페인 협의</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물류/창고팀</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납기·재고·발송 조율</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건별</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r>
    </w:tbl>
    <w:p>
      <w:r>
        <w:t xml:space="preserve"/>
      </w:r>
    </w:p>
    <w:p>
      <w:pPr>
        <w:pStyle w:val="Heading2"/>
      </w:pPr>
      <w:r>
        <w:rPr>
          <w:rFonts w:ascii="맑은 고딕" w:cs="맑은 고딕" w:eastAsia="맑은 고딕" w:hAnsi="맑은 고딕"/>
          <w:b/>
          <w:bCs/>
          <w:color w:val="2E75B6"/>
          <w:sz w:val="28"/>
          <w:szCs w:val="28"/>
        </w:rPr>
        <w:t xml:space="preserve">1.3 필요 역량</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5000"/>
        <w:gridCol w:w="2138"/>
      </w:tblGrid>
      <w:tr>
        <w:tc>
          <w:tcPr>
            <w:tcW w:type="dxa" w:w="2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역량</w:t>
            </w:r>
          </w:p>
        </w:tc>
        <w:tc>
          <w:tcPr>
            <w:tcW w:type="dxa" w:w="5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설명</w:t>
            </w:r>
          </w:p>
        </w:tc>
        <w:tc>
          <w:tcPr>
            <w:tcW w:type="dxa" w:w="21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중요도</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영어(또는 담당 언어)</w:t>
            </w:r>
          </w:p>
        </w:tc>
        <w:tc>
          <w:tcPr>
            <w:tcW w:type="dxa" w:w="5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바이어 미팅·협상·이메일 능통 수준</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상</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해외 영업 협상력</w:t>
            </w:r>
          </w:p>
        </w:tc>
        <w:tc>
          <w:tcPr>
            <w:tcW w:type="dxa" w:w="5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가격·조건·납기 협상 실무 경험</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상</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현지 시장 이해</w:t>
            </w:r>
          </w:p>
        </w:tc>
        <w:tc>
          <w:tcPr>
            <w:tcW w:type="dxa" w:w="5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담당 지역 소비자 특성·트렌드 이해</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중</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플랫폼 운영 지식</w:t>
            </w:r>
          </w:p>
        </w:tc>
        <w:tc>
          <w:tcPr>
            <w:tcW w:type="dxa" w:w="5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Amazon·라쿠텐·Lazada 운영 경험</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중</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무역 서류 이해</w:t>
            </w:r>
          </w:p>
        </w:tc>
        <w:tc>
          <w:tcPr>
            <w:tcW w:type="dxa" w:w="5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인보이스·Offer Sheet·계약서 기초</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중</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자기관리</w:t>
            </w:r>
          </w:p>
        </w:tc>
        <w:tc>
          <w:tcPr>
            <w:tcW w:type="dxa" w:w="5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시차 극복·출장 대응·독립적 업무 수행</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중</w:t>
            </w:r>
          </w:p>
        </w:tc>
      </w:tr>
    </w:tbl>
    <w:p>
      <w:r>
        <w:t xml:space="preserve"/>
      </w:r>
    </w:p>
    <w:p>
      <w:pPr>
        <w:pStyle w:val="Heading1"/>
      </w:pPr>
      <w:r>
        <w:rPr>
          <w:rFonts w:ascii="맑은 고딕" w:cs="맑은 고딕" w:eastAsia="맑은 고딕" w:hAnsi="맑은 고딕"/>
          <w:b/>
          <w:bCs/>
          <w:color w:val="1F3864"/>
          <w:sz w:val="32"/>
          <w:szCs w:val="32"/>
        </w:rPr>
        <w:t xml:space="preserve">2장. 핵심 업무별 상세 프로세스</w:t>
      </w:r>
    </w:p>
    <w:p>
      <w:pPr>
        <w:pStyle w:val="Heading2"/>
      </w:pPr>
      <w:r>
        <w:rPr>
          <w:rFonts w:ascii="맑은 고딕" w:cs="맑은 고딕" w:eastAsia="맑은 고딕" w:hAnsi="맑은 고딕"/>
          <w:b/>
          <w:bCs/>
          <w:color w:val="2E75B6"/>
          <w:sz w:val="28"/>
          <w:szCs w:val="28"/>
        </w:rPr>
        <w:t xml:space="preserve">2.1 해외 바이어/플랫폼 리드 발굴</w:t>
      </w:r>
    </w:p>
    <w:p>
      <w:pPr>
        <w:spacing w:after="120"/>
      </w:pPr>
      <w:r>
        <w:rPr>
          <w:rFonts w:ascii="맑은 고딕" w:cs="맑은 고딕" w:eastAsia="맑은 고딕" w:hAnsi="맑은 고딕"/>
          <w:sz w:val="22"/>
          <w:szCs w:val="22"/>
        </w:rPr>
        <w:t xml:space="preserve">■ 업무 프로세스</w:t>
      </w:r>
    </w:p>
    <w:p>
      <w:pPr>
        <w:pStyle w:val="ListParagraph"/>
        <w:numPr>
          <w:ilvl w:val="0"/>
          <w:numId w:val="2"/>
        </w:numPr>
      </w:pPr>
      <w:r>
        <w:rPr>
          <w:rFonts w:ascii="맑은 고딕" w:cs="맑은 고딕" w:eastAsia="맑은 고딕" w:hAnsi="맑은 고딕"/>
          <w:sz w:val="22"/>
          <w:szCs w:val="22"/>
        </w:rPr>
        <w:t xml:space="preserve">KOTRA 바이어 DB, LinkedIn, Alibaba, Global Sources를 활용해 담당 지역 잠재 바이어 발굴</w:t>
      </w:r>
    </w:p>
    <w:p>
      <w:pPr>
        <w:pStyle w:val="ListParagraph"/>
        <w:numPr>
          <w:ilvl w:val="0"/>
          <w:numId w:val="2"/>
        </w:numPr>
      </w:pPr>
      <w:r>
        <w:rPr>
          <w:rFonts w:ascii="맑은 고딕" w:cs="맑은 고딕" w:eastAsia="맑은 고딕" w:hAnsi="맑은 고딕"/>
          <w:sz w:val="22"/>
          <w:szCs w:val="22"/>
        </w:rPr>
        <w:t xml:space="preserve">Amazon·Lazada·라쿠텐 신규 스토어 입점 또는 기존 리스팅 확대 기회 탐색</w:t>
      </w:r>
    </w:p>
    <w:p>
      <w:pPr>
        <w:pStyle w:val="ListParagraph"/>
        <w:numPr>
          <w:ilvl w:val="0"/>
          <w:numId w:val="2"/>
        </w:numPr>
      </w:pPr>
      <w:r>
        <w:rPr>
          <w:rFonts w:ascii="맑은 고딕" w:cs="맑은 고딕" w:eastAsia="맑은 고딕" w:hAnsi="맑은 고딕"/>
          <w:sz w:val="22"/>
          <w:szCs w:val="22"/>
        </w:rPr>
        <w:t xml:space="preserve">글로벌 무역 전시회(SIAL·Cosmoprof·Ambiente 등) 참가를 통한 현장 바이어 발굴</w:t>
      </w:r>
    </w:p>
    <w:p>
      <w:pPr>
        <w:pStyle w:val="ListParagraph"/>
        <w:numPr>
          <w:ilvl w:val="0"/>
          <w:numId w:val="2"/>
        </w:numPr>
      </w:pPr>
      <w:r>
        <w:rPr>
          <w:rFonts w:ascii="맑은 고딕" w:cs="맑은 고딕" w:eastAsia="맑은 고딕" w:hAnsi="맑은 고딕"/>
          <w:sz w:val="22"/>
          <w:szCs w:val="22"/>
        </w:rPr>
        <w:t xml:space="preserve">발굴된 리드 품질 평가(구매 규모·재무 건전성·구매 이력) 및 A/B/C 등급 분류</w:t>
      </w:r>
    </w:p>
    <w:p>
      <w:pPr>
        <w:pStyle w:val="ListParagraph"/>
        <w:numPr>
          <w:ilvl w:val="0"/>
          <w:numId w:val="2"/>
        </w:numPr>
      </w:pPr>
      <w:r>
        <w:rPr>
          <w:rFonts w:ascii="맑은 고딕" w:cs="맑은 고딕" w:eastAsia="맑은 고딕" w:hAnsi="맑은 고딕"/>
          <w:sz w:val="22"/>
          <w:szCs w:val="22"/>
        </w:rPr>
        <w:t xml:space="preserve">CRM에 리드 등록 후 초기 접촉 계획 수립(이메일·LinkedIn 아웃리치 우선순위 설정)</w:t>
      </w:r>
    </w:p>
    <w:p>
      <w:pPr>
        <w:pStyle w:val="ListParagraph"/>
        <w:numPr>
          <w:ilvl w:val="0"/>
          <w:numId w:val="2"/>
        </w:numPr>
      </w:pPr>
      <w:r>
        <w:rPr>
          <w:rFonts w:ascii="맑은 고딕" w:cs="맑은 고딕" w:eastAsia="맑은 고딕" w:hAnsi="맑은 고딕"/>
          <w:sz w:val="22"/>
          <w:szCs w:val="22"/>
        </w:rPr>
        <w:t xml:space="preserve">주간 신규 리드 현황 및 접촉 결과 팀장 보고</w:t>
      </w:r>
    </w:p>
    <w:p>
      <w:r>
        <w:t xml:space="preserve"/>
      </w:r>
    </w:p>
    <w:p>
      <w:pPr>
        <w:spacing w:after="120"/>
      </w:pPr>
      <w:r>
        <w:rPr>
          <w:rFonts w:ascii="맑은 고딕" w:cs="맑은 고딕" w:eastAsia="맑은 고딕" w:hAnsi="맑은 고딕"/>
          <w:sz w:val="22"/>
          <w:szCs w:val="22"/>
        </w:rPr>
        <w:t xml:space="preserve">■ 핵심 체계</w:t>
      </w:r>
    </w:p>
    <w:p>
      <w:pPr>
        <w:spacing w:after="120"/>
      </w:pPr>
      <w:r>
        <w:rPr>
          <w:rFonts w:ascii="맑은 고딕" w:cs="맑은 고딕" w:eastAsia="맑은 고딕" w:hAnsi="맑은 고딕"/>
          <w:sz w:val="22"/>
          <w:szCs w:val="22"/>
        </w:rPr>
        <w:t xml:space="preserve">리드 발굴 채널별 특성</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1800"/>
        <w:gridCol w:w="2800"/>
        <w:gridCol w:w="3038"/>
      </w:tblGrid>
      <w:tr>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채널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리드 유형</w:t>
            </w:r>
          </w:p>
        </w:tc>
        <w:tc>
          <w:tcPr>
            <w:tcW w:type="dxa" w:w="2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장점</w:t>
            </w:r>
          </w:p>
        </w:tc>
        <w:tc>
          <w:tcPr>
            <w:tcW w:type="dxa" w:w="30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초기 접근 방법</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KOTRA 바이어 매칭</w:t>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B2B 바이어</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공신력·검증된 바이어</w:t>
            </w:r>
          </w:p>
        </w:tc>
        <w:tc>
          <w:tcPr>
            <w:tcW w:type="dxa" w:w="30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KOTRA 무역관 통해 소개 요청</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LinkedIn Sales Nav</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B2B 바이어·유통사</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타겟 검색 정확</w:t>
            </w:r>
          </w:p>
        </w:tc>
        <w:tc>
          <w:tcPr>
            <w:tcW w:type="dxa" w:w="30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InMail 아웃리치</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Alibaba</w:t>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도매 바이어</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규모 큰 바이어 다수</w:t>
            </w:r>
          </w:p>
        </w:tc>
        <w:tc>
          <w:tcPr>
            <w:tcW w:type="dxa" w:w="30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RFQ 응찰·직접 메시지</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Amazon 셀러 센트럴</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B2C 플랫폼</w:t>
            </w:r>
          </w:p>
        </w:tc>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즉시 판매 시작</w:t>
            </w:r>
          </w:p>
        </w:tc>
        <w:tc>
          <w:tcPr>
            <w:tcW w:type="dxa" w:w="30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셀러 어카운트 개설·리스팅</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무역 전시회</w:t>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B2B·B2C 혼합</w:t>
            </w:r>
          </w:p>
        </w:tc>
        <w:tc>
          <w:tcPr>
            <w:tcW w:type="dxa" w:w="2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신뢰 구축 용이</w:t>
            </w:r>
          </w:p>
        </w:tc>
        <w:tc>
          <w:tcPr>
            <w:tcW w:type="dxa" w:w="30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현장 부스 방문·명함 수집</w:t>
            </w:r>
          </w:p>
        </w:tc>
      </w:tr>
    </w:tbl>
    <w:p>
      <w:r>
        <w:t xml:space="preserve"/>
      </w:r>
    </w:p>
    <w:p>
      <w:pPr>
        <w:spacing w:after="120"/>
      </w:pPr>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체크리스트 항목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주간 신규 리드 발굴 목표 달성 여부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KOTRA·LinkedIn 아웃리치 발송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리드 우선순위(A/B/C) CRM 분류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플랫폼 신규 입점 신청 진행 여부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전시회 참가 계획(연 1~2회) 수립</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리드 유입 채널별 효율 주간 분석</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팀장에게 주간 리드 현황 보고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바이어 이메일·연락처 정확성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중복 리드 CRM 병합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담당 지역 바이어 DB 최신화</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리드 발굴 스크립트(영문) 최신화</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발굴 리드 중 당월 접촉 대상 선정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bl>
    <w:p>
      <w:r>
        <w:t xml:space="preserve"/>
      </w:r>
    </w:p>
    <w:p>
      <w:pPr>
        <w:pStyle w:val="Heading2"/>
      </w:pPr>
      <w:r>
        <w:rPr>
          <w:rFonts w:ascii="맑은 고딕" w:cs="맑은 고딕" w:eastAsia="맑은 고딕" w:hAnsi="맑은 고딕"/>
          <w:b/>
          <w:bCs/>
          <w:color w:val="2E75B6"/>
          <w:sz w:val="28"/>
          <w:szCs w:val="28"/>
        </w:rPr>
        <w:t xml:space="preserve">2.2 첫 접촉 및 샘플 협의</w:t>
      </w:r>
    </w:p>
    <w:p>
      <w:pPr>
        <w:spacing w:after="120"/>
      </w:pPr>
      <w:r>
        <w:rPr>
          <w:rFonts w:ascii="맑은 고딕" w:cs="맑은 고딕" w:eastAsia="맑은 고딕" w:hAnsi="맑은 고딕"/>
          <w:sz w:val="22"/>
          <w:szCs w:val="22"/>
        </w:rPr>
        <w:t xml:space="preserve">■ 업무 프로세스</w:t>
      </w:r>
    </w:p>
    <w:p>
      <w:pPr>
        <w:pStyle w:val="ListParagraph"/>
        <w:numPr>
          <w:ilvl w:val="0"/>
          <w:numId w:val="2"/>
        </w:numPr>
      </w:pPr>
      <w:r>
        <w:rPr>
          <w:rFonts w:ascii="맑은 고딕" w:cs="맑은 고딕" w:eastAsia="맑은 고딕" w:hAnsi="맑은 고딕"/>
          <w:sz w:val="22"/>
          <w:szCs w:val="22"/>
        </w:rPr>
        <w:t xml:space="preserve">바이어 공개 정보(홈페이지·SNS·Crunchbase) 조사 후 맞춤형 첫 접촉 이메일(영문) 작성</w:t>
      </w:r>
    </w:p>
    <w:p>
      <w:pPr>
        <w:pStyle w:val="ListParagraph"/>
        <w:numPr>
          <w:ilvl w:val="0"/>
          <w:numId w:val="2"/>
        </w:numPr>
      </w:pPr>
      <w:r>
        <w:rPr>
          <w:rFonts w:ascii="맑은 고딕" w:cs="맑은 고딕" w:eastAsia="맑은 고딕" w:hAnsi="맑은 고딕"/>
          <w:sz w:val="22"/>
          <w:szCs w:val="22"/>
        </w:rPr>
        <w:t xml:space="preserve">첫 이메일 발송 후 3영업일 내 팔로업 이메일, 7일 내 LinkedIn 메시지 발송</w:t>
      </w:r>
    </w:p>
    <w:p>
      <w:pPr>
        <w:pStyle w:val="ListParagraph"/>
        <w:numPr>
          <w:ilvl w:val="0"/>
          <w:numId w:val="2"/>
        </w:numPr>
      </w:pPr>
      <w:r>
        <w:rPr>
          <w:rFonts w:ascii="맑은 고딕" w:cs="맑은 고딕" w:eastAsia="맑은 고딕" w:hAnsi="맑은 고딕"/>
          <w:sz w:val="22"/>
          <w:szCs w:val="22"/>
        </w:rPr>
        <w:t xml:space="preserve">바이어 응답 시 화상 미팅(Zoom) 일정 제안 및 어젠다 사전 공유</w:t>
      </w:r>
    </w:p>
    <w:p>
      <w:pPr>
        <w:pStyle w:val="ListParagraph"/>
        <w:numPr>
          <w:ilvl w:val="0"/>
          <w:numId w:val="2"/>
        </w:numPr>
      </w:pPr>
      <w:r>
        <w:rPr>
          <w:rFonts w:ascii="맑은 고딕" w:cs="맑은 고딕" w:eastAsia="맑은 고딕" w:hAnsi="맑은 고딕"/>
          <w:sz w:val="22"/>
          <w:szCs w:val="22"/>
        </w:rPr>
        <w:t xml:space="preserve">화상 미팅에서 바이어 니즈·구매 규모·선호 인코텀즈 파악</w:t>
      </w:r>
    </w:p>
    <w:p>
      <w:pPr>
        <w:pStyle w:val="ListParagraph"/>
        <w:numPr>
          <w:ilvl w:val="0"/>
          <w:numId w:val="2"/>
        </w:numPr>
      </w:pPr>
      <w:r>
        <w:rPr>
          <w:rFonts w:ascii="맑은 고딕" w:cs="맑은 고딕" w:eastAsia="맑은 고딕" w:hAnsi="맑은 고딕"/>
          <w:sz w:val="22"/>
          <w:szCs w:val="22"/>
        </w:rPr>
        <w:t xml:space="preserve">샘플 요청 시 샘플 발송 조건(비용 부담·수량·납기) 합의 후 무역/통관팀에 선적 의뢰</w:t>
      </w:r>
    </w:p>
    <w:p>
      <w:pPr>
        <w:pStyle w:val="ListParagraph"/>
        <w:numPr>
          <w:ilvl w:val="0"/>
          <w:numId w:val="2"/>
        </w:numPr>
      </w:pPr>
      <w:r>
        <w:rPr>
          <w:rFonts w:ascii="맑은 고딕" w:cs="맑은 고딕" w:eastAsia="맑은 고딕" w:hAnsi="맑은 고딕"/>
          <w:sz w:val="22"/>
          <w:szCs w:val="22"/>
        </w:rPr>
        <w:t xml:space="preserve">샘플 수령 후 2주 내 바이어 피드백 확인 및 다음 단계(가격 협상·발주) 유도</w:t>
      </w:r>
    </w:p>
    <w:p>
      <w:r>
        <w:t xml:space="preserve"/>
      </w:r>
    </w:p>
    <w:p>
      <w:pPr>
        <w:spacing w:after="120"/>
      </w:pPr>
      <w:r>
        <w:rPr>
          <w:rFonts w:ascii="맑은 고딕" w:cs="맑은 고딕" w:eastAsia="맑은 고딕" w:hAnsi="맑은 고딕"/>
          <w:sz w:val="22"/>
          <w:szCs w:val="22"/>
        </w:rPr>
        <w:t xml:space="preserve">■ 핵심 체계</w:t>
      </w:r>
    </w:p>
    <w:p>
      <w:pPr>
        <w:spacing w:after="120"/>
      </w:pPr>
      <w:r>
        <w:rPr>
          <w:rFonts w:ascii="맑은 고딕" w:cs="맑은 고딕" w:eastAsia="맑은 고딕" w:hAnsi="맑은 고딕"/>
          <w:sz w:val="22"/>
          <w:szCs w:val="22"/>
        </w:rPr>
        <w:t xml:space="preserve">첫 접촉 단계별 표준 액션</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3000"/>
        <w:gridCol w:w="2000"/>
        <w:gridCol w:w="2638"/>
      </w:tblGrid>
      <w:tr>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단계</w:t>
            </w:r>
          </w:p>
        </w:tc>
        <w:tc>
          <w:tcPr>
            <w:tcW w:type="dxa" w:w="3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액션</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기한</w:t>
            </w:r>
          </w:p>
        </w:tc>
        <w:tc>
          <w:tcPr>
            <w:tcW w:type="dxa" w:w="26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담당</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1차 이메일</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맞춤형 영문 아웃리치 이메일 발송</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리드 등록 후 1일</w:t>
            </w:r>
          </w:p>
        </w:tc>
        <w:tc>
          <w:tcPr>
            <w:tcW w:type="dxa" w:w="2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지역 담당</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1차 팔로업</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팔로업 이메일 발송</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1차 발송 후 3일</w:t>
            </w:r>
          </w:p>
        </w:tc>
        <w:tc>
          <w:tcPr>
            <w:tcW w:type="dxa" w:w="2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지역 담당</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2차 팔로업</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LinkedIn 메시지 발송</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1차 발송 후 7일</w:t>
            </w:r>
          </w:p>
        </w:tc>
        <w:tc>
          <w:tcPr>
            <w:tcW w:type="dxa" w:w="2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지역 담당</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화상 미팅</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Zoom 미팅 진행·니즈 파악</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응답 후 1주 내</w:t>
            </w:r>
          </w:p>
        </w:tc>
        <w:tc>
          <w:tcPr>
            <w:tcW w:type="dxa" w:w="2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지역 담당</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샘플 발송</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무역팀 통해 샘플 선적</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합의 후 5영업일</w:t>
            </w:r>
          </w:p>
        </w:tc>
        <w:tc>
          <w:tcPr>
            <w:tcW w:type="dxa" w:w="2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무역/통관팀</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샘플 피드백</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피드백 확인·다음 단계 유도</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수령 후 2주 내</w:t>
            </w:r>
          </w:p>
        </w:tc>
        <w:tc>
          <w:tcPr>
            <w:tcW w:type="dxa" w:w="2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지역 담당</w:t>
            </w:r>
          </w:p>
        </w:tc>
      </w:tr>
    </w:tbl>
    <w:p>
      <w:r>
        <w:t xml:space="preserve"/>
      </w:r>
    </w:p>
    <w:p>
      <w:pPr>
        <w:spacing w:after="120"/>
      </w:pPr>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체크리스트 항목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바이어 공개 정보 사전 조사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맞춤형 첫 접촉 이메일(영문) 작성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1차 이메일 발송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3일 내 팔로업 이메일 발송</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7일 내 LinkedIn 팔로업 발송</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화상 미팅 일정 및 어젠다 공유</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미팅 중 바이어 니즈 메모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샘플 발송 조건 바이어와 합의</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무역팀에 샘플 선적 의뢰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샘플 수령 후 2주 내 피드백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다음 단계(가격 협상) 일정 합의</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bl>
    <w:p>
      <w:r>
        <w:t xml:space="preserve"/>
      </w:r>
    </w:p>
    <w:p>
      <w:pPr>
        <w:pStyle w:val="Heading2"/>
      </w:pPr>
      <w:r>
        <w:rPr>
          <w:rFonts w:ascii="맑은 고딕" w:cs="맑은 고딕" w:eastAsia="맑은 고딕" w:hAnsi="맑은 고딕"/>
          <w:b/>
          <w:bCs/>
          <w:color w:val="2E75B6"/>
          <w:sz w:val="28"/>
          <w:szCs w:val="28"/>
        </w:rPr>
        <w:t xml:space="preserve">2.3 가격 협상 및 Offer Sheet 발행</w:t>
      </w:r>
    </w:p>
    <w:p>
      <w:pPr>
        <w:spacing w:after="120"/>
      </w:pPr>
      <w:r>
        <w:rPr>
          <w:rFonts w:ascii="맑은 고딕" w:cs="맑은 고딕" w:eastAsia="맑은 고딕" w:hAnsi="맑은 고딕"/>
          <w:sz w:val="22"/>
          <w:szCs w:val="22"/>
        </w:rPr>
        <w:t xml:space="preserve">■ 업무 프로세스</w:t>
      </w:r>
    </w:p>
    <w:p>
      <w:pPr>
        <w:pStyle w:val="ListParagraph"/>
        <w:numPr>
          <w:ilvl w:val="0"/>
          <w:numId w:val="2"/>
        </w:numPr>
      </w:pPr>
      <w:r>
        <w:rPr>
          <w:rFonts w:ascii="맑은 고딕" w:cs="맑은 고딕" w:eastAsia="맑은 고딕" w:hAnsi="맑은 고딕"/>
          <w:sz w:val="22"/>
          <w:szCs w:val="22"/>
        </w:rPr>
        <w:t xml:space="preserve">바이어 발주 예상 수량·조건(인코텀즈·결제 조건)을 기반으로 내부 원가 계산</w:t>
      </w:r>
    </w:p>
    <w:p>
      <w:pPr>
        <w:pStyle w:val="ListParagraph"/>
        <w:numPr>
          <w:ilvl w:val="0"/>
          <w:numId w:val="2"/>
        </w:numPr>
      </w:pPr>
      <w:r>
        <w:rPr>
          <w:rFonts w:ascii="맑은 고딕" w:cs="맑은 고딕" w:eastAsia="맑은 고딕" w:hAnsi="맑은 고딕"/>
          <w:sz w:val="22"/>
          <w:szCs w:val="22"/>
        </w:rPr>
        <w:t xml:space="preserve">시장 가격 경쟁력, 마진 목표, 환율을 고려한 제안 가격 설정(팀장 승인)</w:t>
      </w:r>
    </w:p>
    <w:p>
      <w:pPr>
        <w:pStyle w:val="ListParagraph"/>
        <w:numPr>
          <w:ilvl w:val="0"/>
          <w:numId w:val="2"/>
        </w:numPr>
      </w:pPr>
      <w:r>
        <w:rPr>
          <w:rFonts w:ascii="맑은 고딕" w:cs="맑은 고딕" w:eastAsia="맑은 고딕" w:hAnsi="맑은 고딕"/>
          <w:sz w:val="22"/>
          <w:szCs w:val="22"/>
        </w:rPr>
        <w:t xml:space="preserve">표준 Offer Sheet 템플릿(영문)에 제품명·수량·단가·인코텀즈·유효기간 기재 후 발송</w:t>
      </w:r>
    </w:p>
    <w:p>
      <w:pPr>
        <w:pStyle w:val="ListParagraph"/>
        <w:numPr>
          <w:ilvl w:val="0"/>
          <w:numId w:val="2"/>
        </w:numPr>
      </w:pPr>
      <w:r>
        <w:rPr>
          <w:rFonts w:ascii="맑은 고딕" w:cs="맑은 고딕" w:eastAsia="맑은 고딕" w:hAnsi="맑은 고딕"/>
          <w:sz w:val="22"/>
          <w:szCs w:val="22"/>
        </w:rPr>
        <w:t xml:space="preserve">바이어 역제안(Counter Offer) 수령 시 양보 가능 범위 내에서 협상 진행</w:t>
      </w:r>
    </w:p>
    <w:p>
      <w:pPr>
        <w:pStyle w:val="ListParagraph"/>
        <w:numPr>
          <w:ilvl w:val="0"/>
          <w:numId w:val="2"/>
        </w:numPr>
      </w:pPr>
      <w:r>
        <w:rPr>
          <w:rFonts w:ascii="맑은 고딕" w:cs="맑은 고딕" w:eastAsia="맑은 고딕" w:hAnsi="맑은 고딕"/>
          <w:sz w:val="22"/>
          <w:szCs w:val="22"/>
        </w:rPr>
        <w:t xml:space="preserve">최종 가격·조건 합의 후 Offer Sheet 최종 버전 발행 및 서명 요청</w:t>
      </w:r>
    </w:p>
    <w:p>
      <w:pPr>
        <w:pStyle w:val="ListParagraph"/>
        <w:numPr>
          <w:ilvl w:val="0"/>
          <w:numId w:val="2"/>
        </w:numPr>
      </w:pPr>
      <w:r>
        <w:rPr>
          <w:rFonts w:ascii="맑은 고딕" w:cs="맑은 고딕" w:eastAsia="맑은 고딕" w:hAnsi="맑은 고딕"/>
          <w:sz w:val="22"/>
          <w:szCs w:val="22"/>
        </w:rPr>
        <w:t xml:space="preserve">협상 내용 및 합의 조건 CRM에 상세 기록</w:t>
      </w:r>
    </w:p>
    <w:p>
      <w:r>
        <w:t xml:space="preserve"/>
      </w:r>
    </w:p>
    <w:p>
      <w:pPr>
        <w:spacing w:after="120"/>
      </w:pPr>
      <w:r>
        <w:rPr>
          <w:rFonts w:ascii="맑은 고딕" w:cs="맑은 고딕" w:eastAsia="맑은 고딕" w:hAnsi="맑은 고딕"/>
          <w:sz w:val="22"/>
          <w:szCs w:val="22"/>
        </w:rPr>
        <w:t xml:space="preserve">■ 핵심 체계</w:t>
      </w:r>
    </w:p>
    <w:p>
      <w:pPr>
        <w:spacing w:after="120"/>
      </w:pPr>
      <w:r>
        <w:rPr>
          <w:rFonts w:ascii="맑은 고딕" w:cs="맑은 고딕" w:eastAsia="맑은 고딕" w:hAnsi="맑은 고딕"/>
          <w:sz w:val="22"/>
          <w:szCs w:val="22"/>
        </w:rPr>
        <w:t xml:space="preserve">Offer Sheet 필수 기재 항목</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4000"/>
        <w:gridCol w:w="3138"/>
      </w:tblGrid>
      <w:tr>
        <w:tc>
          <w:tcPr>
            <w:tcW w:type="dxa" w:w="2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항목</w:t>
            </w:r>
          </w:p>
        </w:tc>
        <w:tc>
          <w:tcPr>
            <w:tcW w:type="dxa" w:w="4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내용 예시</w:t>
            </w:r>
          </w:p>
        </w:tc>
        <w:tc>
          <w:tcPr>
            <w:tcW w:type="dxa" w:w="31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주의사항</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제품 정보</w:t>
            </w:r>
          </w:p>
        </w:tc>
        <w:tc>
          <w:tcPr>
            <w:tcW w:type="dxa" w:w="4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제품명·모델명·HS코드·규격</w:t>
            </w:r>
          </w:p>
        </w:tc>
        <w:tc>
          <w:tcPr>
            <w:tcW w:type="dxa" w:w="3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수출 규제 해당 여부 확인</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수량 및 단가</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MOQ 200개·FOB USD 12.50/개</w:t>
            </w:r>
          </w:p>
        </w:tc>
        <w:tc>
          <w:tcPr>
            <w:tcW w:type="dxa" w:w="3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수량별 가격 구간 명시</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인코텀즈</w:t>
            </w:r>
          </w:p>
        </w:tc>
        <w:tc>
          <w:tcPr>
            <w:tcW w:type="dxa" w:w="4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FOB 인천·CIF 로스앤젤레스</w:t>
            </w:r>
          </w:p>
        </w:tc>
        <w:tc>
          <w:tcPr>
            <w:tcW w:type="dxa" w:w="3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운임·보험료 부담 주체 명확히</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결제 조건</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T/T 30% 선금·70% 선적 후 30일</w:t>
            </w:r>
          </w:p>
        </w:tc>
        <w:tc>
          <w:tcPr>
            <w:tcW w:type="dxa" w:w="3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신용 리스크 평가 후 결정</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유효기간</w:t>
            </w:r>
          </w:p>
        </w:tc>
        <w:tc>
          <w:tcPr>
            <w:tcW w:type="dxa" w:w="4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발행일로부터 30일</w:t>
            </w:r>
          </w:p>
        </w:tc>
        <w:tc>
          <w:tcPr>
            <w:tcW w:type="dxa" w:w="3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원자재 가격 변동 고려</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포장 조건</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개당 박스 포장·마스터박스 24개</w:t>
            </w:r>
          </w:p>
        </w:tc>
        <w:tc>
          <w:tcPr>
            <w:tcW w:type="dxa" w:w="3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현지 포장 규정 확인</w:t>
            </w:r>
          </w:p>
        </w:tc>
      </w:tr>
    </w:tbl>
    <w:p>
      <w:r>
        <w:t xml:space="preserve"/>
      </w:r>
    </w:p>
    <w:p>
      <w:pPr>
        <w:spacing w:after="120"/>
      </w:pPr>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체크리스트 항목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발주 예상 수량·인코텀즈 바이어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내부 원가 및 마진 계산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시장 가격 경쟁력 비교 분석</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팀장 가격 승인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표준 Offer Sheet(영문) 작성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Offer Sheet 발송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바이어 역제안 수령 및 협상 진행</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양보 가능 범위 내 최종 합의</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최종 Offer Sheet 서명본 보관</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CRM에 협상 내용 상세 기록</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bl>
    <w:p>
      <w:r>
        <w:t xml:space="preserve"/>
      </w:r>
    </w:p>
    <w:p>
      <w:pPr>
        <w:pStyle w:val="Heading2"/>
      </w:pPr>
      <w:r>
        <w:rPr>
          <w:rFonts w:ascii="맑은 고딕" w:cs="맑은 고딕" w:eastAsia="맑은 고딕" w:hAnsi="맑은 고딕"/>
          <w:b/>
          <w:bCs/>
          <w:color w:val="2E75B6"/>
          <w:sz w:val="28"/>
          <w:szCs w:val="28"/>
        </w:rPr>
        <w:t xml:space="preserve">2.4 B2B 계약 체결 및 발주 처리</w:t>
      </w:r>
    </w:p>
    <w:p>
      <w:pPr>
        <w:spacing w:after="120"/>
      </w:pPr>
      <w:r>
        <w:rPr>
          <w:rFonts w:ascii="맑은 고딕" w:cs="맑은 고딕" w:eastAsia="맑은 고딕" w:hAnsi="맑은 고딕"/>
          <w:sz w:val="22"/>
          <w:szCs w:val="22"/>
        </w:rPr>
        <w:t xml:space="preserve">■ 업무 프로세스</w:t>
      </w:r>
    </w:p>
    <w:p>
      <w:pPr>
        <w:pStyle w:val="ListParagraph"/>
        <w:numPr>
          <w:ilvl w:val="0"/>
          <w:numId w:val="2"/>
        </w:numPr>
      </w:pPr>
      <w:r>
        <w:rPr>
          <w:rFonts w:ascii="맑은 고딕" w:cs="맑은 고딕" w:eastAsia="맑은 고딕" w:hAnsi="맑은 고딕"/>
          <w:sz w:val="22"/>
          <w:szCs w:val="22"/>
        </w:rPr>
        <w:t xml:space="preserve">가격 합의 완료 후 표준 수출 계약서(Sales Contract) 초안 작성(한·영 병기)</w:t>
      </w:r>
    </w:p>
    <w:p>
      <w:pPr>
        <w:pStyle w:val="ListParagraph"/>
        <w:numPr>
          <w:ilvl w:val="0"/>
          <w:numId w:val="2"/>
        </w:numPr>
      </w:pPr>
      <w:r>
        <w:rPr>
          <w:rFonts w:ascii="맑은 고딕" w:cs="맑은 고딕" w:eastAsia="맑은 고딕" w:hAnsi="맑은 고딕"/>
          <w:sz w:val="22"/>
          <w:szCs w:val="22"/>
        </w:rPr>
        <w:t xml:space="preserve">계약서 법무 검토 → 팀장 승인 → 바이어에게 발송</w:t>
      </w:r>
    </w:p>
    <w:p>
      <w:pPr>
        <w:pStyle w:val="ListParagraph"/>
        <w:numPr>
          <w:ilvl w:val="0"/>
          <w:numId w:val="2"/>
        </w:numPr>
      </w:pPr>
      <w:r>
        <w:rPr>
          <w:rFonts w:ascii="맑은 고딕" w:cs="맑은 고딕" w:eastAsia="맑은 고딕" w:hAnsi="맑은 고딕"/>
          <w:sz w:val="22"/>
          <w:szCs w:val="22"/>
        </w:rPr>
        <w:t xml:space="preserve">DocuSign 또는 이메일 서명으로 계약서 쌍방 서명 완료 및 원본 보관</w:t>
      </w:r>
    </w:p>
    <w:p>
      <w:pPr>
        <w:pStyle w:val="ListParagraph"/>
        <w:numPr>
          <w:ilvl w:val="0"/>
          <w:numId w:val="2"/>
        </w:numPr>
      </w:pPr>
      <w:r>
        <w:rPr>
          <w:rFonts w:ascii="맑은 고딕" w:cs="맑은 고딕" w:eastAsia="맑은 고딕" w:hAnsi="맑은 고딕"/>
          <w:sz w:val="22"/>
          <w:szCs w:val="22"/>
        </w:rPr>
        <w:t xml:space="preserve">발주서(Purchase Order) 수령 후 수량·사양·납기·인코텀즈 일치 여부 확인</w:t>
      </w:r>
    </w:p>
    <w:p>
      <w:pPr>
        <w:pStyle w:val="ListParagraph"/>
        <w:numPr>
          <w:ilvl w:val="0"/>
          <w:numId w:val="2"/>
        </w:numPr>
      </w:pPr>
      <w:r>
        <w:rPr>
          <w:rFonts w:ascii="맑은 고딕" w:cs="맑은 고딕" w:eastAsia="맑은 고딕" w:hAnsi="맑은 고딕"/>
          <w:sz w:val="22"/>
          <w:szCs w:val="22"/>
        </w:rPr>
        <w:t xml:space="preserve">발주 내용 무역/통관팀·물류팀에 즉시 공유하여 생산·선적 일정 조율</w:t>
      </w:r>
    </w:p>
    <w:p>
      <w:pPr>
        <w:pStyle w:val="ListParagraph"/>
        <w:numPr>
          <w:ilvl w:val="0"/>
          <w:numId w:val="2"/>
        </w:numPr>
      </w:pPr>
      <w:r>
        <w:rPr>
          <w:rFonts w:ascii="맑은 고딕" w:cs="맑은 고딕" w:eastAsia="맑은 고딕" w:hAnsi="맑은 고딕"/>
          <w:sz w:val="22"/>
          <w:szCs w:val="22"/>
        </w:rPr>
        <w:t xml:space="preserve">계약 완료 CRM 수주 상태 업데이트, 수금 스케줄 재무팀 공유</w:t>
      </w:r>
    </w:p>
    <w:p>
      <w:r>
        <w:t xml:space="preserve"/>
      </w:r>
    </w:p>
    <w:p>
      <w:pPr>
        <w:spacing w:after="120"/>
      </w:pPr>
      <w:r>
        <w:rPr>
          <w:rFonts w:ascii="맑은 고딕" w:cs="맑은 고딕" w:eastAsia="맑은 고딕" w:hAnsi="맑은 고딕"/>
          <w:sz w:val="22"/>
          <w:szCs w:val="22"/>
        </w:rPr>
        <w:t xml:space="preserve">■ 핵심 체계</w:t>
      </w:r>
    </w:p>
    <w:p>
      <w:pPr>
        <w:spacing w:after="120"/>
      </w:pPr>
      <w:r>
        <w:rPr>
          <w:rFonts w:ascii="맑은 고딕" w:cs="맑은 고딕" w:eastAsia="맑은 고딕" w:hAnsi="맑은 고딕"/>
          <w:sz w:val="22"/>
          <w:szCs w:val="22"/>
        </w:rPr>
        <w:t xml:space="preserve">B2B 계약 체결 단계별 체크포인트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4000"/>
        <w:gridCol w:w="3638"/>
      </w:tblGrid>
      <w:tr>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단계</w:t>
            </w:r>
          </w:p>
        </w:tc>
        <w:tc>
          <w:tcPr>
            <w:tcW w:type="dxa" w:w="4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핵심 확인 사항</w:t>
            </w:r>
          </w:p>
        </w:tc>
        <w:tc>
          <w:tcPr>
            <w:tcW w:type="dxa" w:w="36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관련 부서</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계약서 작성</w:t>
            </w:r>
          </w:p>
        </w:tc>
        <w:tc>
          <w:tcPr>
            <w:tcW w:type="dxa" w:w="4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가격·수량·납기·인코텀즈·결제 조건 정확성</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영업·법무</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계약서 검토</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분쟁 해결 조항·준거법·보증 조건</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법무·재무</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계약서 서명</w:t>
            </w:r>
          </w:p>
        </w:tc>
        <w:tc>
          <w:tcPr>
            <w:tcW w:type="dxa" w:w="4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쌍방 권한 있는 자의 서명 확인</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영업</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발주서 확인</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계약서 조건과 PO 내용 100% 일치 확인</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영업·무역</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선적 준비</w:t>
            </w:r>
          </w:p>
        </w:tc>
        <w:tc>
          <w:tcPr>
            <w:tcW w:type="dxa" w:w="4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생산·재고·포장·서류 준비</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무역·물류</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선금 확인</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선금 입금 확인 후 선적 지시</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재무·무역</w:t>
            </w:r>
          </w:p>
        </w:tc>
      </w:tr>
    </w:tbl>
    <w:p>
      <w:r>
        <w:t xml:space="preserve"/>
      </w:r>
    </w:p>
    <w:p>
      <w:pPr>
        <w:spacing w:after="120"/>
      </w:pPr>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체크리스트 항목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수출 계약서 초안 작성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법무(또는 팀장) 계약서 검토 완료</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바이어에게 계약서 발송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쌍방 서명 계약서 원본 보관</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발주서(PO) 수령 및 내용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계약서·PO 조건 100% 일치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무역/통관팀에 발주 내용 공유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물류팀과 생산·선적 일정 협의</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선금 입금 확인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CRM 수주 상태 업데이트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재무팀에 수금 스케줄 공유</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bl>
    <w:p>
      <w:r>
        <w:t xml:space="preserve"/>
      </w:r>
    </w:p>
    <w:p>
      <w:pPr>
        <w:pStyle w:val="Heading2"/>
      </w:pPr>
      <w:r>
        <w:rPr>
          <w:rFonts w:ascii="맑은 고딕" w:cs="맑은 고딕" w:eastAsia="맑은 고딕" w:hAnsi="맑은 고딕"/>
          <w:b/>
          <w:bCs/>
          <w:color w:val="2E75B6"/>
          <w:sz w:val="28"/>
          <w:szCs w:val="28"/>
        </w:rPr>
        <w:t xml:space="preserve">2.5 플랫폼(B2C) 채널 운영 및 최적화</w:t>
      </w:r>
    </w:p>
    <w:p>
      <w:pPr>
        <w:spacing w:after="120"/>
      </w:pPr>
      <w:r>
        <w:rPr>
          <w:rFonts w:ascii="맑은 고딕" w:cs="맑은 고딕" w:eastAsia="맑은 고딕" w:hAnsi="맑은 고딕"/>
          <w:sz w:val="22"/>
          <w:szCs w:val="22"/>
        </w:rPr>
        <w:t xml:space="preserve">■ 업무 프로세스</w:t>
      </w:r>
    </w:p>
    <w:p>
      <w:pPr>
        <w:pStyle w:val="ListParagraph"/>
        <w:numPr>
          <w:ilvl w:val="0"/>
          <w:numId w:val="2"/>
        </w:numPr>
      </w:pPr>
      <w:r>
        <w:rPr>
          <w:rFonts w:ascii="맑은 고딕" w:cs="맑은 고딕" w:eastAsia="맑은 고딕" w:hAnsi="맑은 고딕"/>
          <w:sz w:val="22"/>
          <w:szCs w:val="22"/>
        </w:rPr>
        <w:t xml:space="preserve">Amazon·라쿠텐·Lazada 상품 리스팅 최신화(제목·키워드·이미지·A+ 콘텐츠)</w:t>
      </w:r>
    </w:p>
    <w:p>
      <w:pPr>
        <w:pStyle w:val="ListParagraph"/>
        <w:numPr>
          <w:ilvl w:val="0"/>
          <w:numId w:val="2"/>
        </w:numPr>
      </w:pPr>
      <w:r>
        <w:rPr>
          <w:rFonts w:ascii="맑은 고딕" w:cs="맑은 고딕" w:eastAsia="맑은 고딕" w:hAnsi="맑은 고딕"/>
          <w:sz w:val="22"/>
          <w:szCs w:val="22"/>
        </w:rPr>
        <w:t xml:space="preserve">채널별 광고(PPC/스폰서드 광고) 설정 및 주간 성과(ACOS·ROAS) 모니터링</w:t>
      </w:r>
    </w:p>
    <w:p>
      <w:pPr>
        <w:pStyle w:val="ListParagraph"/>
        <w:numPr>
          <w:ilvl w:val="0"/>
          <w:numId w:val="2"/>
        </w:numPr>
      </w:pPr>
      <w:r>
        <w:rPr>
          <w:rFonts w:ascii="맑은 고딕" w:cs="맑은 고딕" w:eastAsia="맑은 고딕" w:hAnsi="맑은 고딕"/>
          <w:sz w:val="22"/>
          <w:szCs w:val="22"/>
        </w:rPr>
        <w:t xml:space="preserve">재고 수준 주간 확인 및 재고 부족 시 물류팀에 즉시 FBA 보충 요청</w:t>
      </w:r>
    </w:p>
    <w:p>
      <w:pPr>
        <w:pStyle w:val="ListParagraph"/>
        <w:numPr>
          <w:ilvl w:val="0"/>
          <w:numId w:val="2"/>
        </w:numPr>
      </w:pPr>
      <w:r>
        <w:rPr>
          <w:rFonts w:ascii="맑은 고딕" w:cs="맑은 고딕" w:eastAsia="맑은 고딕" w:hAnsi="맑은 고딕"/>
          <w:sz w:val="22"/>
          <w:szCs w:val="22"/>
        </w:rPr>
        <w:t xml:space="preserve">플랫폼 리뷰 모니터링 및 부정 리뷰 대응(CS팀 협력)</w:t>
      </w:r>
    </w:p>
    <w:p>
      <w:pPr>
        <w:pStyle w:val="ListParagraph"/>
        <w:numPr>
          <w:ilvl w:val="0"/>
          <w:numId w:val="2"/>
        </w:numPr>
      </w:pPr>
      <w:r>
        <w:rPr>
          <w:rFonts w:ascii="맑은 고딕" w:cs="맑은 고딕" w:eastAsia="맑은 고딕" w:hAnsi="맑은 고딕"/>
          <w:sz w:val="22"/>
          <w:szCs w:val="22"/>
        </w:rPr>
        <w:t xml:space="preserve">시즌 이벤트(Prime Day·Singles' Day·연말 세일) 프로모션 기획 및 실행</w:t>
      </w:r>
    </w:p>
    <w:p>
      <w:pPr>
        <w:pStyle w:val="ListParagraph"/>
        <w:numPr>
          <w:ilvl w:val="0"/>
          <w:numId w:val="2"/>
        </w:numPr>
      </w:pPr>
      <w:r>
        <w:rPr>
          <w:rFonts w:ascii="맑은 고딕" w:cs="맑은 고딕" w:eastAsia="맑은 고딕" w:hAnsi="맑은 고딕"/>
          <w:sz w:val="22"/>
          <w:szCs w:val="22"/>
        </w:rPr>
        <w:t xml:space="preserve">월간 플랫폼 성과 리포트 작성 및 최적화 방향 설정</w:t>
      </w:r>
    </w:p>
    <w:p>
      <w:r>
        <w:t xml:space="preserve"/>
      </w:r>
    </w:p>
    <w:p>
      <w:pPr>
        <w:spacing w:after="120"/>
      </w:pPr>
      <w:r>
        <w:rPr>
          <w:rFonts w:ascii="맑은 고딕" w:cs="맑은 고딕" w:eastAsia="맑은 고딕" w:hAnsi="맑은 고딕"/>
          <w:sz w:val="22"/>
          <w:szCs w:val="22"/>
        </w:rPr>
        <w:t xml:space="preserve">■ 핵심 체계</w:t>
      </w:r>
    </w:p>
    <w:p>
      <w:pPr>
        <w:spacing w:after="120"/>
      </w:pPr>
      <w:r>
        <w:rPr>
          <w:rFonts w:ascii="맑은 고딕" w:cs="맑은 고딕" w:eastAsia="맑은 고딕" w:hAnsi="맑은 고딕"/>
          <w:sz w:val="22"/>
          <w:szCs w:val="22"/>
        </w:rPr>
        <w:t xml:space="preserve">플랫폼별 주요 최적화 포인트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4138"/>
      </w:tblGrid>
      <w:tr>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플랫폼</w:t>
            </w:r>
          </w:p>
        </w:tc>
        <w:tc>
          <w:tcPr>
            <w:tcW w:type="dxa" w:w="3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핵심 최적화 항목</w:t>
            </w:r>
          </w:p>
        </w:tc>
        <w:tc>
          <w:tcPr>
            <w:tcW w:type="dxa" w:w="41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성과 지표</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Amazon</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키워드 최적화·PPC 광고·FBA 재고</w:t>
            </w:r>
          </w:p>
        </w:tc>
        <w:tc>
          <w:tcPr>
            <w:tcW w:type="dxa" w:w="4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BSR·ACOS·전환율</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라쿠텐(일본)</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일본어 상품명·리뷰 관리·쿠폰</w:t>
            </w:r>
          </w:p>
        </w:tc>
        <w:tc>
          <w:tcPr>
            <w:tcW w:type="dxa" w:w="4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판매 건수·리뷰 평점</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Lazada</w:t>
            </w:r>
          </w:p>
        </w:tc>
        <w:tc>
          <w:tcPr>
            <w:tcW w:type="dxa" w:w="3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현지어 리스팅·플래시세일 참여</w:t>
            </w:r>
          </w:p>
        </w:tc>
        <w:tc>
          <w:tcPr>
            <w:tcW w:type="dxa" w:w="4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GMV·전환율·별점</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자사 글로벌몰</w:t>
            </w:r>
          </w:p>
        </w:tc>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SEO·유료 광고 연동·UX 개선</w:t>
            </w:r>
          </w:p>
        </w:tc>
        <w:tc>
          <w:tcPr>
            <w:tcW w:type="dxa" w:w="4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유입·전환·ROAS</w:t>
            </w:r>
          </w:p>
        </w:tc>
      </w:tr>
    </w:tbl>
    <w:p>
      <w:r>
        <w:t xml:space="preserve"/>
      </w:r>
    </w:p>
    <w:p>
      <w:pPr>
        <w:spacing w:after="120"/>
      </w:pPr>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체크리스트 항목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플랫폼 상품 리스팅 최신화(제목·키워드·이미지)</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채널별 광고 성과 주간 확인(ACOS·ROAS)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재고 수준 주간 확인 및 FBA 보충 요청</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플랫폼 리뷰 신규 등록 확인 및 대응</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부정 리뷰 CS팀에 공유 및 대응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시즌 이벤트 프로모션 계획 수립</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프로모션 소재 마케팅팀과 협의 완료</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플랫폼 정책 변경 사항 주간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월간 플랫폼 성과 리포트 작성</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최적화 개선 Action Item 설정</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bl>
    <w:p>
      <w:r>
        <w:t xml:space="preserve"/>
      </w:r>
    </w:p>
    <w:p>
      <w:pPr>
        <w:pStyle w:val="Heading2"/>
      </w:pPr>
      <w:r>
        <w:rPr>
          <w:rFonts w:ascii="맑은 고딕" w:cs="맑은 고딕" w:eastAsia="맑은 고딕" w:hAnsi="맑은 고딕"/>
          <w:b/>
          <w:bCs/>
          <w:color w:val="2E75B6"/>
          <w:sz w:val="28"/>
          <w:szCs w:val="28"/>
        </w:rPr>
        <w:t xml:space="preserve">2.6 바이어/플랫폼 관계 유지 및 재구매 관리</w:t>
      </w:r>
    </w:p>
    <w:p>
      <w:pPr>
        <w:spacing w:after="120"/>
      </w:pPr>
      <w:r>
        <w:rPr>
          <w:rFonts w:ascii="맑은 고딕" w:cs="맑은 고딕" w:eastAsia="맑은 고딕" w:hAnsi="맑은 고딕"/>
          <w:sz w:val="22"/>
          <w:szCs w:val="22"/>
        </w:rPr>
        <w:t xml:space="preserve">■ 업무 프로세스</w:t>
      </w:r>
    </w:p>
    <w:p>
      <w:pPr>
        <w:pStyle w:val="ListParagraph"/>
        <w:numPr>
          <w:ilvl w:val="0"/>
          <w:numId w:val="2"/>
        </w:numPr>
      </w:pPr>
      <w:r>
        <w:rPr>
          <w:rFonts w:ascii="맑은 고딕" w:cs="맑은 고딕" w:eastAsia="맑은 고딕" w:hAnsi="맑은 고딕"/>
          <w:sz w:val="22"/>
          <w:szCs w:val="22"/>
        </w:rPr>
        <w:t xml:space="preserve">납품 완료 후 1주 내 바이어에게 수령 확인 및 만족도 확인 연락</w:t>
      </w:r>
    </w:p>
    <w:p>
      <w:pPr>
        <w:pStyle w:val="ListParagraph"/>
        <w:numPr>
          <w:ilvl w:val="0"/>
          <w:numId w:val="2"/>
        </w:numPr>
      </w:pPr>
      <w:r>
        <w:rPr>
          <w:rFonts w:ascii="맑은 고딕" w:cs="맑은 고딕" w:eastAsia="맑은 고딕" w:hAnsi="맑은 고딕"/>
          <w:sz w:val="22"/>
          <w:szCs w:val="22"/>
        </w:rPr>
        <w:t xml:space="preserve">월 1회 이상 바이어와 정기 화상 미팅 또는 이메일로 관계 유지</w:t>
      </w:r>
    </w:p>
    <w:p>
      <w:pPr>
        <w:pStyle w:val="ListParagraph"/>
        <w:numPr>
          <w:ilvl w:val="0"/>
          <w:numId w:val="2"/>
        </w:numPr>
      </w:pPr>
      <w:r>
        <w:rPr>
          <w:rFonts w:ascii="맑은 고딕" w:cs="맑은 고딕" w:eastAsia="맑은 고딕" w:hAnsi="맑은 고딕"/>
          <w:sz w:val="22"/>
          <w:szCs w:val="22"/>
        </w:rPr>
        <w:t xml:space="preserve">신제품 출시·시즌 프로모션·가격 조정 시 담당 바이어에게 우선 안내</w:t>
      </w:r>
    </w:p>
    <w:p>
      <w:pPr>
        <w:pStyle w:val="ListParagraph"/>
        <w:numPr>
          <w:ilvl w:val="0"/>
          <w:numId w:val="2"/>
        </w:numPr>
      </w:pPr>
      <w:r>
        <w:rPr>
          <w:rFonts w:ascii="맑은 고딕" w:cs="맑은 고딕" w:eastAsia="맑은 고딕" w:hAnsi="맑은 고딕"/>
          <w:sz w:val="22"/>
          <w:szCs w:val="22"/>
        </w:rPr>
        <w:t xml:space="preserve">재발주 주기 분석 후 적시에 재발주 유도 연락(재발주 예상 시점 30일 전)</w:t>
      </w:r>
    </w:p>
    <w:p>
      <w:pPr>
        <w:pStyle w:val="ListParagraph"/>
        <w:numPr>
          <w:ilvl w:val="0"/>
          <w:numId w:val="2"/>
        </w:numPr>
      </w:pPr>
      <w:r>
        <w:rPr>
          <w:rFonts w:ascii="맑은 고딕" w:cs="맑은 고딕" w:eastAsia="맑은 고딕" w:hAnsi="맑은 고딕"/>
          <w:sz w:val="22"/>
          <w:szCs w:val="22"/>
        </w:rPr>
        <w:t xml:space="preserve">VIP 바이어(상위 20% 매출 기여) 대상 특별 조건(우선 납기·추가 할인) 제공</w:t>
      </w:r>
    </w:p>
    <w:p>
      <w:pPr>
        <w:pStyle w:val="ListParagraph"/>
        <w:numPr>
          <w:ilvl w:val="0"/>
          <w:numId w:val="2"/>
        </w:numPr>
      </w:pPr>
      <w:r>
        <w:rPr>
          <w:rFonts w:ascii="맑은 고딕" w:cs="맑은 고딕" w:eastAsia="맑은 고딕" w:hAnsi="맑은 고딕"/>
          <w:sz w:val="22"/>
          <w:szCs w:val="22"/>
        </w:rPr>
        <w:t xml:space="preserve">바이어 이탈 신호(연락 감소·주문량 감소) 감지 시 즉시 원인 파악 및 Win-back 시도</w:t>
      </w:r>
    </w:p>
    <w:p>
      <w:r>
        <w:t xml:space="preserve"/>
      </w:r>
    </w:p>
    <w:p>
      <w:pPr>
        <w:spacing w:after="120"/>
      </w:pPr>
      <w:r>
        <w:rPr>
          <w:rFonts w:ascii="맑은 고딕" w:cs="맑은 고딕" w:eastAsia="맑은 고딕" w:hAnsi="맑은 고딕"/>
          <w:sz w:val="22"/>
          <w:szCs w:val="22"/>
        </w:rPr>
        <w:t xml:space="preserve">■ 핵심 체계</w:t>
      </w:r>
    </w:p>
    <w:p>
      <w:pPr>
        <w:spacing w:after="120"/>
      </w:pPr>
      <w:r>
        <w:rPr>
          <w:rFonts w:ascii="맑은 고딕" w:cs="맑은 고딕" w:eastAsia="맑은 고딕" w:hAnsi="맑은 고딕"/>
          <w:sz w:val="22"/>
          <w:szCs w:val="22"/>
        </w:rPr>
        <w:t xml:space="preserve">바이어 관계 관리 주기</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2638"/>
        <w:gridCol w:w="2000"/>
      </w:tblGrid>
      <w:tr>
        <w:tc>
          <w:tcPr>
            <w:tcW w:type="dxa" w:w="3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활동</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주기</w:t>
            </w:r>
          </w:p>
        </w:tc>
        <w:tc>
          <w:tcPr>
            <w:tcW w:type="dxa" w:w="26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방법</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목적</w:t>
            </w:r>
          </w:p>
        </w:tc>
      </w:tr>
      <w:tr>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납품 후 수령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납품 후 1주</w:t>
            </w:r>
          </w:p>
        </w:tc>
        <w:tc>
          <w:tcPr>
            <w:tcW w:type="dxa" w:w="2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이메일·전화</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만족도 확인</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정기 관계 유지 연락</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월 1회 이상</w:t>
            </w:r>
          </w:p>
        </w:tc>
        <w:tc>
          <w:tcPr>
            <w:tcW w:type="dxa" w:w="2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화상 미팅·이메일</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신뢰 유지</w:t>
            </w:r>
          </w:p>
        </w:tc>
      </w:tr>
      <w:tr>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신제품·프로모션 안내</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신제품 출시 시</w:t>
            </w:r>
          </w:p>
        </w:tc>
        <w:tc>
          <w:tcPr>
            <w:tcW w:type="dxa" w:w="2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이메일·카탈로그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추가 발주 유도</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재발주 유도</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예상 재발주 30일 전</w:t>
            </w:r>
          </w:p>
        </w:tc>
        <w:tc>
          <w:tcPr>
            <w:tcW w:type="dxa" w:w="2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맞춤형 이메일</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재발주 확보</w:t>
            </w:r>
          </w:p>
        </w:tc>
      </w:tr>
      <w:tr>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VIP 특별 케어</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분기 1회</w:t>
            </w:r>
          </w:p>
        </w:tc>
        <w:tc>
          <w:tcPr>
            <w:tcW w:type="dxa" w:w="2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영상통화·방문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장기 관계 강화</w:t>
            </w:r>
          </w:p>
        </w:tc>
      </w:tr>
    </w:tbl>
    <w:p>
      <w:r>
        <w:t xml:space="preserve"/>
      </w:r>
    </w:p>
    <w:p>
      <w:pPr>
        <w:spacing w:after="120"/>
      </w:pPr>
      <w:r>
        <w:rPr>
          <w:rFonts w:ascii="맑은 고딕" w:cs="맑은 고딕" w:eastAsia="맑은 고딕" w:hAnsi="맑은 고딕"/>
          <w:sz w:val="22"/>
          <w:szCs w:val="22"/>
        </w:rPr>
        <w:t xml:space="preserve">■ 체크리스트</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5838"/>
        <w:gridCol w:w="2000"/>
        <w:gridCol w:w="1800"/>
      </w:tblGrid>
      <w:tr>
        <w:tc>
          <w:tcPr>
            <w:tcW w:type="dxa" w:w="58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체크리스트 항목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완료 여부</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납품 완료 후 1주 내 수령 확인 연락</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바이어별 월 1회 이상 관계 유지 접촉</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신제품 출시 시 담당 바이어 우선 안내</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재발주 예상 시점 30일 전 유도 연락</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VIP 바이어 특별 조건 제공 여부 확인</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바이어 이탈 신호 CRM 모니터링</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이탈 위험 바이어 팀장 보고 및 대응 협의</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바이어 만족도 분기 확인</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Win-back 시도 결과 CRM 기록</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r>
        <w:tc>
          <w:tcPr>
            <w:tcW w:type="dxa" w:w="58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담당 바이어 연간 성과 리뷰 미팅 진행</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w:t>
            </w:r>
          </w:p>
        </w:tc>
      </w:tr>
    </w:tbl>
    <w:p>
      <w:r>
        <w:t xml:space="preserve"/>
      </w:r>
    </w:p>
    <w:p>
      <w:pPr>
        <w:pStyle w:val="Heading1"/>
      </w:pPr>
      <w:r>
        <w:rPr>
          <w:rFonts w:ascii="맑은 고딕" w:cs="맑은 고딕" w:eastAsia="맑은 고딕" w:hAnsi="맑은 고딕"/>
          <w:b/>
          <w:bCs/>
          <w:color w:val="1F3864"/>
          <w:sz w:val="32"/>
          <w:szCs w:val="32"/>
        </w:rPr>
        <w:t xml:space="preserve">3장. KPI 및 성과 지표</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500"/>
        <w:gridCol w:w="3000"/>
        <w:gridCol w:w="2000"/>
        <w:gridCol w:w="2138"/>
      </w:tblGrid>
      <w:tr>
        <w:tc>
          <w:tcPr>
            <w:tcW w:type="dxa" w:w="2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지표명</w:t>
            </w:r>
          </w:p>
        </w:tc>
        <w:tc>
          <w:tcPr>
            <w:tcW w:type="dxa" w:w="3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산식/기준</w:t>
            </w:r>
          </w:p>
        </w:tc>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목표 기준</w:t>
            </w:r>
          </w:p>
        </w:tc>
        <w:tc>
          <w:tcPr>
            <w:tcW w:type="dxa" w:w="21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측정 주기</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수출 매출 달성률</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담당 지역 실적/목표×100</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100% 이상</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신규 바이어 계약 수</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당기 신규 계약 건수</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연간 5개 이상</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바이어 재발주율</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재발주 바이어 수/전체 바이어 수</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60% 이상</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플랫폼 매출 성장률</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(당기-전기)/전기×100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월 5% 이상</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평균 거래 단가(AOV)</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총 수출 금액/계약 건수</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전분기 대비 유지·성장</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오퍼 시트 발행 건수</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월별 Offer Sheet 발행 수</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월 5건 이상</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월간</w:t>
            </w:r>
          </w:p>
        </w:tc>
      </w:tr>
      <w:tr>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리드→수주 전환율</w:t>
            </w:r>
          </w:p>
        </w:tc>
        <w:tc>
          <w:tcPr>
            <w:tcW w:type="dxa" w:w="3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수주 건수/총 리드 수×100</w:t>
            </w:r>
          </w:p>
        </w:tc>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20% 이상</w:t>
            </w:r>
          </w:p>
        </w:tc>
        <w:tc>
          <w:tcPr>
            <w:tcW w:type="dxa" w:w="21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r>
      <w:t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바이어 만족도(CSAT)</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납품 후 만족도 조사</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4.0점/5점 이상</w:t>
            </w:r>
          </w:p>
        </w:tc>
        <w:tc>
          <w:tcPr>
            <w:tcW w:type="dxa" w:w="21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분기</w:t>
            </w:r>
          </w:p>
        </w:tc>
      </w:tr>
    </w:tbl>
    <w:p>
      <w:r>
        <w:t xml:space="preserve"/>
      </w:r>
    </w:p>
    <w:p>
      <w:pPr>
        <w:pStyle w:val="Heading1"/>
      </w:pPr>
      <w:r>
        <w:rPr>
          <w:rFonts w:ascii="맑은 고딕" w:cs="맑은 고딕" w:eastAsia="맑은 고딕" w:hAnsi="맑은 고딕"/>
          <w:b/>
          <w:bCs/>
          <w:color w:val="1F3864"/>
          <w:sz w:val="32"/>
          <w:szCs w:val="32"/>
        </w:rPr>
        <w:t xml:space="preserve">4장. 주요 사용 도구</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1500"/>
        <w:gridCol w:w="3638"/>
      </w:tblGrid>
      <w:tr>
        <w:tc>
          <w:tcPr>
            <w:tcW w:type="dxa" w:w="20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도구명</w:t>
            </w:r>
          </w:p>
        </w:tc>
        <w:tc>
          <w:tcPr>
            <w:tcW w:type="dxa" w:w="2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용도</w:t>
            </w:r>
          </w:p>
        </w:tc>
        <w:tc>
          <w:tcPr>
            <w:tcW w:type="dxa" w:w="150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무료/유료</w:t>
            </w:r>
          </w:p>
        </w:tc>
        <w:tc>
          <w:tcPr>
            <w:tcW w:type="dxa" w:w="363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vAlign w:val="center"/>
          </w:tcPr>
          <w:p>
            <w:r>
              <w:rPr>
                <w:rFonts w:ascii="맑은 고딕" w:cs="맑은 고딕" w:eastAsia="맑은 고딕" w:hAnsi="맑은 고딕"/>
                <w:b/>
                <w:bCs/>
                <w:color w:val="FFFFFF"/>
                <w:sz w:val="20"/>
                <w:szCs w:val="20"/>
              </w:rPr>
              <w:t xml:space="preserve">추천 이유</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Amazon Seller Central</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Amazon 리스팅·광고·재고 관리</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유료(수수료)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B2C 수출 핵심 플랫폼</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Lazada Seller Center</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동남아 Lazada 상품 관리</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유료(수수료)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동남아 최대 플랫폼</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라쿠텐 Merchant</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일본 라쿠텐 상품 관리</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유료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일본 로열티 고객 접근</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LinkedIn Sales Navigator</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해외 바이어 발굴·아웃리치</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유료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B2B 타겟 바이어 검색</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HubSpot CRM</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바이어 파이프라인·이메일 관리</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무료/유료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영업 단계 관리 자동화</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DocuSign</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전자 계약서 서명</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유료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해외 서명 프로세스 간소화</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Zoom</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해외 바이어 화상 미팅</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유료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시차·출장 없이 미팅 진행</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Google Workspace</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문서·이메일·캘린더 관리</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유료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글로벌 팀 협업 표준</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Canva</w:t>
            </w:r>
          </w:p>
        </w:tc>
        <w:tc>
          <w:tcPr>
            <w:tcW w:type="dxa" w:w="2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바이어 제안 소재·카탈로그 제작</w:t>
            </w:r>
          </w:p>
        </w:tc>
        <w:tc>
          <w:tcPr>
            <w:tcW w:type="dxa" w:w="15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무료/유료</w:t>
            </w:r>
          </w:p>
        </w:tc>
        <w:tc>
          <w:tcPr>
            <w:tcW w:type="dxa" w:w="3638"/>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맑은 고딕" w:cs="맑은 고딕" w:eastAsia="맑은 고딕" w:hAnsi="맑은 고딕"/>
                <w:sz w:val="20"/>
                <w:szCs w:val="20"/>
              </w:rPr>
              <w:t xml:space="preserve">영문 마케팅 소재 제작</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Notion</w:t>
            </w:r>
          </w:p>
        </w:tc>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바이어 정보·미팅 기록 관리</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유료</w:t>
            </w:r>
          </w:p>
        </w:tc>
        <w:tc>
          <w:tcPr>
            <w:tcW w:type="dxa" w:w="36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맑은 고딕" w:cs="맑은 고딕" w:eastAsia="맑은 고딕" w:hAnsi="맑은 고딕"/>
                <w:sz w:val="20"/>
                <w:szCs w:val="20"/>
              </w:rPr>
              <w:t xml:space="preserve">팀 내 지식 공유·아카이빙</w:t>
            </w:r>
          </w:p>
        </w:tc>
      </w:tr>
    </w:tbl>
    <w:p>
      <w:r>
        <w:t xml:space="preserve"/>
      </w:r>
    </w:p>
    <w:p>
      <w:pPr>
        <w:pStyle w:val="Heading1"/>
      </w:pPr>
      <w:r>
        <w:rPr>
          <w:rFonts w:ascii="맑은 고딕" w:cs="맑은 고딕" w:eastAsia="맑은 고딕" w:hAnsi="맑은 고딕"/>
          <w:b/>
          <w:bCs/>
          <w:color w:val="1F3864"/>
          <w:sz w:val="32"/>
          <w:szCs w:val="32"/>
        </w:rPr>
        <w:t xml:space="preserve">5장. 협업 가이드</w:t>
      </w:r>
    </w:p>
    <w:p>
      <w:pPr>
        <w:spacing w:after="120"/>
      </w:pPr>
      <w:r>
        <w:rPr>
          <w:rFonts w:ascii="맑은 고딕" w:cs="맑은 고딕" w:eastAsia="맑은 고딕" w:hAnsi="맑은 고딕"/>
          <w:sz w:val="22"/>
          <w:szCs w:val="22"/>
        </w:rPr>
        <w:t xml:space="preserve">해외영업 기획/전략팀과는 월간 성과 리뷰를 통해 담당 지역 목표 달성 현황을 보고하고, 시장 환경 변화에 따른 전략 수정 방향을 함께 논의합니다. 기획/전략팀이 제공하는 시장 조사 결과, 경쟁사 동향, 채널 정책을 현장 영업에 빠르게 반영하여 바이어 미팅과 플랫폼 운영에 활용합니다. 목표 배분 시에는 담당 지역의 시장 특성과 계절성을 충분히 반영하도록 의견을 적극 제시합니다.</w:t>
      </w:r>
    </w:p>
    <w:p>
      <w:pPr>
        <w:spacing w:after="120"/>
      </w:pPr>
      <w:r>
        <w:rPr>
          <w:rFonts w:ascii="맑은 고딕" w:cs="맑은 고딕" w:eastAsia="맑은 고딕" w:hAnsi="맑은 고딕"/>
          <w:sz w:val="22"/>
          <w:szCs w:val="22"/>
        </w:rPr>
        <w:t xml:space="preserve">무역/통관팀과는 계약 체결 후 즉시 발주서를 공유하여 선적 일정이 지연되지 않도록 협력합니다. 샘플 발송, 본 선적, 반품 처리 등 모든 무역 실무는 무역/통관팀의 지원을 받아 진행하며, 바이어가 요구하는 특수 서류나 인증이 있을 경우 사전에 충분한 시간을 두고 요청합니다. 물류팀과는 재고 현황과 납기 일정을 주간 단위로 공유하여 FBA 재고 부족이나 납기 지연을 예방합니다.</w:t>
      </w:r>
    </w:p>
    <w:p>
      <w:pPr>
        <w:spacing w:after="120"/>
      </w:pPr>
      <w:r>
        <w:rPr>
          <w:rFonts w:ascii="맑은 고딕" w:cs="맑은 고딕" w:eastAsia="맑은 고딕" w:hAnsi="맑은 고딕"/>
          <w:sz w:val="22"/>
          <w:szCs w:val="22"/>
        </w:rPr>
        <w:t xml:space="preserve">마케팅팀과는 현지 프로모션 캠페인 기획 시 담당 지역의 소비자 특성과 트렌드를 공유하여 현지화된 마케팅 소재를 확보합니다. CS팀과는 바이어 클레임 및 플랫폼 부정 리뷰 발생 시 신속하게 정보를 공유하고, 해결책을 함께 마련하여 바이어 신뢰를 유지합니다. 이러한 긴밀한 협업 체계가 담당 지역 수출 성과를 극대화하는 핵심 기반입니다.</w:t>
      </w:r>
    </w:p>
    <w:p>
      <w:pPr>
        <w:pStyle w:val="Heading1"/>
      </w:pPr>
      <w:r>
        <w:rPr>
          <w:rFonts w:ascii="맑은 고딕" w:cs="맑은 고딕" w:eastAsia="맑은 고딕" w:hAnsi="맑은 고딕"/>
          <w:b/>
          <w:bCs/>
          <w:color w:val="1F3864"/>
          <w:sz w:val="32"/>
          <w:szCs w:val="32"/>
        </w:rPr>
        <w:t xml:space="preserve">6장. 자주 발생하는 이슈 &amp; 해결책</w:t>
      </w:r>
    </w:p>
    <w:p>
      <w:pPr>
        <w:pStyle w:val="Heading3"/>
      </w:pPr>
      <w:r>
        <w:rPr>
          <w:rFonts w:ascii="맑은 고딕" w:cs="맑은 고딕" w:eastAsia="맑은 고딕" w:hAnsi="맑은 고딕"/>
          <w:b/>
          <w:bCs/>
          <w:color w:val="404040"/>
          <w:sz w:val="24"/>
          <w:szCs w:val="24"/>
        </w:rPr>
        <w:t xml:space="preserve">Q1: 바이어가 첫 발주 후 수개월째 재발주 없이 연락이 없을 때</w:t>
      </w:r>
    </w:p>
    <w:p>
      <w:pPr>
        <w:spacing w:after="120"/>
      </w:pPr>
      <w:r>
        <w:rPr>
          <w:rFonts w:ascii="맑은 고딕" w:cs="맑은 고딕" w:eastAsia="맑은 고딕" w:hAnsi="맑은 고딕"/>
          <w:sz w:val="22"/>
          <w:szCs w:val="22"/>
        </w:rPr>
        <w:t xml:space="preserve">▶ 상황: 6개월 전 첫 발주를 완료한 바이어로부터 재발주 없이 연락도 두절된 상황입니다.</w:t>
      </w:r>
    </w:p>
    <w:p>
      <w:pPr>
        <w:spacing w:after="120"/>
      </w:pPr>
      <w:r>
        <w:rPr>
          <w:rFonts w:ascii="맑은 고딕" w:cs="맑은 고딕" w:eastAsia="맑은 고딕" w:hAnsi="맑은 고딕"/>
          <w:sz w:val="22"/>
          <w:szCs w:val="22"/>
        </w:rPr>
        <w:t xml:space="preserve">▶ 원인: 바이어 재고가 아직 남아 있거나, 경쟁사 제품으로 전환했거나, 내부 예산 이슈가 발생한 것일 수 있습니다.</w:t>
      </w:r>
    </w:p>
    <w:p>
      <w:pPr>
        <w:spacing w:after="120"/>
      </w:pPr>
      <w:r>
        <w:rPr>
          <w:rFonts w:ascii="맑은 고딕" w:cs="맑은 고딕" w:eastAsia="맑은 고딕" w:hAnsi="맑은 고딕"/>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부드러운 톤의 영문 팔로업 이메일을 발송하여 재고 소진 여부와 피드백을 확인합니다.</w:t>
      </w:r>
    </w:p>
    <w:p>
      <w:pPr>
        <w:pStyle w:val="ListParagraph"/>
        <w:numPr>
          <w:ilvl w:val="0"/>
          <w:numId w:val="2"/>
        </w:numPr>
      </w:pPr>
      <w:r>
        <w:rPr>
          <w:rFonts w:ascii="맑은 고딕" w:cs="맑은 고딕" w:eastAsia="맑은 고딕" w:hAnsi="맑은 고딕"/>
          <w:sz w:val="22"/>
          <w:szCs w:val="22"/>
        </w:rPr>
        <w:t xml:space="preserve">신제품 출시나 시즌 프로모션 정보를 함께 제공하여 재접촉의 자연스러운 명분을 만듭니다.</w:t>
      </w:r>
    </w:p>
    <w:p>
      <w:pPr>
        <w:pStyle w:val="ListParagraph"/>
        <w:numPr>
          <w:ilvl w:val="0"/>
          <w:numId w:val="2"/>
        </w:numPr>
      </w:pPr>
      <w:r>
        <w:rPr>
          <w:rFonts w:ascii="맑은 고딕" w:cs="맑은 고딕" w:eastAsia="맑은 고딕" w:hAnsi="맑은 고딕"/>
          <w:sz w:val="22"/>
          <w:szCs w:val="22"/>
        </w:rPr>
        <w:t xml:space="preserve">LinkedIn 메시지나 화상 미팅 제안을 통해 관계 재활성화를 시도합니다.</w:t>
      </w:r>
    </w:p>
    <w:p>
      <w:pPr>
        <w:pStyle w:val="ListParagraph"/>
        <w:numPr>
          <w:ilvl w:val="0"/>
          <w:numId w:val="2"/>
        </w:numPr>
      </w:pPr>
      <w:r>
        <w:rPr>
          <w:rFonts w:ascii="맑은 고딕" w:cs="맑은 고딕" w:eastAsia="맑은 고딕" w:hAnsi="맑은 고딕"/>
          <w:sz w:val="22"/>
          <w:szCs w:val="22"/>
        </w:rPr>
        <w:t xml:space="preserve">바이어가 마지막으로 구매한 제품의 현지 판매 상황(리뷰·판매 속도)을 조사하여 맞춤형 제안을 준비합니다.</w:t>
      </w:r>
    </w:p>
    <w:p>
      <w:pPr>
        <w:pStyle w:val="ListParagraph"/>
        <w:numPr>
          <w:ilvl w:val="0"/>
          <w:numId w:val="2"/>
        </w:numPr>
      </w:pPr>
      <w:r>
        <w:rPr>
          <w:rFonts w:ascii="맑은 고딕" w:cs="맑은 고딕" w:eastAsia="맑은 고딕" w:hAnsi="맑은 고딕"/>
          <w:sz w:val="22"/>
          <w:szCs w:val="22"/>
        </w:rPr>
        <w:t xml:space="preserve">3회 이상 연락 시도에도 응답 없으면 팀장에게 보고하고 Win-back 캠페인 또는 포기 결정을 협의합니다.</w:t>
      </w:r>
    </w:p>
    <w:p>
      <w:r>
        <w:t xml:space="preserve"/>
      </w:r>
    </w:p>
    <w:p>
      <w:pPr>
        <w:pStyle w:val="Heading3"/>
      </w:pPr>
      <w:r>
        <w:rPr>
          <w:rFonts w:ascii="맑은 고딕" w:cs="맑은 고딕" w:eastAsia="맑은 고딕" w:hAnsi="맑은 고딕"/>
          <w:b/>
          <w:bCs/>
          <w:color w:val="404040"/>
          <w:sz w:val="24"/>
          <w:szCs w:val="24"/>
        </w:rPr>
        <w:t xml:space="preserve">Q2: Amazon 등 플랫폼에서 경쟁사가 유사 제품을 훨씬 저렴하게 판매할 때</w:t>
      </w:r>
    </w:p>
    <w:p>
      <w:pPr>
        <w:spacing w:after="120"/>
      </w:pPr>
      <w:r>
        <w:rPr>
          <w:rFonts w:ascii="맑은 고딕" w:cs="맑은 고딕" w:eastAsia="맑은 고딕" w:hAnsi="맑은 고딕"/>
          <w:sz w:val="22"/>
          <w:szCs w:val="22"/>
        </w:rPr>
        <w:t xml:space="preserve">▶ 상황: Amazon에서 중국 경쟁사가 동일 카테고리 제품을 자사 대비 30% 저렴하게 출시하여 판매량이 급감하였습니다.</w:t>
      </w:r>
    </w:p>
    <w:p>
      <w:pPr>
        <w:spacing w:after="120"/>
      </w:pPr>
      <w:r>
        <w:rPr>
          <w:rFonts w:ascii="맑은 고딕" w:cs="맑은 고딕" w:eastAsia="맑은 고딕" w:hAnsi="맑은 고딕"/>
          <w:sz w:val="22"/>
          <w:szCs w:val="22"/>
        </w:rPr>
        <w:t xml:space="preserve">▶ 원인: 저가 경쟁사의 시장 진입으로 가격 포지셔닝이 흔들리고 있는 상황입니다.</w:t>
      </w:r>
    </w:p>
    <w:p>
      <w:pPr>
        <w:spacing w:after="120"/>
      </w:pPr>
      <w:r>
        <w:rPr>
          <w:rFonts w:ascii="맑은 고딕" w:cs="맑은 고딕" w:eastAsia="맑은 고딕" w:hAnsi="맑은 고딕"/>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경쟁사 제품과 자사 제품의 품질·성분·인증·리뷰를 비교하여 차별화 포인트를 명확히 합니다.</w:t>
      </w:r>
    </w:p>
    <w:p>
      <w:pPr>
        <w:pStyle w:val="ListParagraph"/>
        <w:numPr>
          <w:ilvl w:val="0"/>
          <w:numId w:val="2"/>
        </w:numPr>
      </w:pPr>
      <w:r>
        <w:rPr>
          <w:rFonts w:ascii="맑은 고딕" w:cs="맑은 고딕" w:eastAsia="맑은 고딕" w:hAnsi="맑은 고딕"/>
          <w:sz w:val="22"/>
          <w:szCs w:val="22"/>
        </w:rPr>
        <w:t xml:space="preserve">A+ 콘텐츠와 상품 상세 페이지를 업그레이드하여 프리미엄 포지셔닝을 강화합니다.</w:t>
      </w:r>
    </w:p>
    <w:p>
      <w:pPr>
        <w:pStyle w:val="ListParagraph"/>
        <w:numPr>
          <w:ilvl w:val="0"/>
          <w:numId w:val="2"/>
        </w:numPr>
      </w:pPr>
      <w:r>
        <w:rPr>
          <w:rFonts w:ascii="맑은 고딕" w:cs="맑은 고딕" w:eastAsia="맑은 고딕" w:hAnsi="맑은 고딕"/>
          <w:sz w:val="22"/>
          <w:szCs w:val="22"/>
        </w:rPr>
        <w:t xml:space="preserve">번들 상품 구성, 서비스 추가(보증 연장·증정품)로 가격 외 가치를 높입니다.</w:t>
      </w:r>
    </w:p>
    <w:p>
      <w:pPr>
        <w:pStyle w:val="ListParagraph"/>
        <w:numPr>
          <w:ilvl w:val="0"/>
          <w:numId w:val="2"/>
        </w:numPr>
      </w:pPr>
      <w:r>
        <w:rPr>
          <w:rFonts w:ascii="맑은 고딕" w:cs="맑은 고딕" w:eastAsia="맑은 고딕" w:hAnsi="맑은 고딕"/>
          <w:sz w:val="22"/>
          <w:szCs w:val="22"/>
        </w:rPr>
        <w:t xml:space="preserve">PPC 광고를 경쟁사 ASIN 타겟팅으로 전환하여 경쟁사 검색 결과에 자사 광고를 노출시킵니다.</w:t>
      </w:r>
    </w:p>
    <w:p>
      <w:pPr>
        <w:pStyle w:val="ListParagraph"/>
        <w:numPr>
          <w:ilvl w:val="0"/>
          <w:numId w:val="2"/>
        </w:numPr>
      </w:pPr>
      <w:r>
        <w:rPr>
          <w:rFonts w:ascii="맑은 고딕" w:cs="맑은 고딕" w:eastAsia="맑은 고딕" w:hAnsi="맑은 고딕"/>
          <w:sz w:val="22"/>
          <w:szCs w:val="22"/>
        </w:rPr>
        <w:t xml:space="preserve">리뷰 수집 캠페인을 강화하여 별점과 리뷰 수에서 경쟁사를 압도하는 전략을 실행합니다.</w:t>
      </w:r>
    </w:p>
    <w:p>
      <w:r>
        <w:t xml:space="preserve"/>
      </w:r>
    </w:p>
    <w:p>
      <w:pPr>
        <w:pStyle w:val="Heading3"/>
      </w:pPr>
      <w:r>
        <w:rPr>
          <w:rFonts w:ascii="맑은 고딕" w:cs="맑은 고딕" w:eastAsia="맑은 고딕" w:hAnsi="맑은 고딕"/>
          <w:b/>
          <w:bCs/>
          <w:color w:val="404040"/>
          <w:sz w:val="24"/>
          <w:szCs w:val="24"/>
        </w:rPr>
        <w:t xml:space="preserve">Q3: 바이어가 계약 후 갑자기 납기 앞당기기를 요청할 때</w:t>
      </w:r>
    </w:p>
    <w:p>
      <w:pPr>
        <w:spacing w:after="120"/>
      </w:pPr>
      <w:r>
        <w:rPr>
          <w:rFonts w:ascii="맑은 고딕" w:cs="맑은 고딕" w:eastAsia="맑은 고딕" w:hAnsi="맑은 고딕"/>
          <w:sz w:val="22"/>
          <w:szCs w:val="22"/>
        </w:rPr>
        <w:t xml:space="preserve">▶ 상황: 계약 체결 후 바이어가 현지 시즌 수요를 이유로 납기를 당초보다 3주 앞당길 것을 긴급 요청했습니다.</w:t>
      </w:r>
    </w:p>
    <w:p>
      <w:pPr>
        <w:spacing w:after="120"/>
      </w:pPr>
      <w:r>
        <w:rPr>
          <w:rFonts w:ascii="맑은 고딕" w:cs="맑은 고딕" w:eastAsia="맑은 고딕" w:hAnsi="맑은 고딕"/>
          <w:sz w:val="22"/>
          <w:szCs w:val="22"/>
        </w:rPr>
        <w:t xml:space="preserve">▶ 원인: 현지 판매 시즌 개시나 재고 소진이 예상보다 빠르게 발생한 경우입니다.</w:t>
      </w:r>
    </w:p>
    <w:p>
      <w:pPr>
        <w:spacing w:after="120"/>
      </w:pPr>
      <w:r>
        <w:rPr>
          <w:rFonts w:ascii="맑은 고딕" w:cs="맑은 고딕" w:eastAsia="맑은 고딕" w:hAnsi="맑은 고딕"/>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무역/통관팀·물류팀과 즉시 협의하여 실제로 납기 앞당기기가 가능한지 확인합니다.</w:t>
      </w:r>
    </w:p>
    <w:p>
      <w:pPr>
        <w:pStyle w:val="ListParagraph"/>
        <w:numPr>
          <w:ilvl w:val="0"/>
          <w:numId w:val="2"/>
        </w:numPr>
      </w:pPr>
      <w:r>
        <w:rPr>
          <w:rFonts w:ascii="맑은 고딕" w:cs="맑은 고딕" w:eastAsia="맑은 고딕" w:hAnsi="맑은 고딕"/>
          <w:sz w:val="22"/>
          <w:szCs w:val="22"/>
        </w:rPr>
        <w:t xml:space="preserve">가능하다면 항공 운송 전환 또는 긴급 생산 비용을 바이어에게 일부 분담 요청합니다.</w:t>
      </w:r>
    </w:p>
    <w:p>
      <w:pPr>
        <w:pStyle w:val="ListParagraph"/>
        <w:numPr>
          <w:ilvl w:val="0"/>
          <w:numId w:val="2"/>
        </w:numPr>
      </w:pPr>
      <w:r>
        <w:rPr>
          <w:rFonts w:ascii="맑은 고딕" w:cs="맑은 고딕" w:eastAsia="맑은 고딕" w:hAnsi="맑은 고딕"/>
          <w:sz w:val="22"/>
          <w:szCs w:val="22"/>
        </w:rPr>
        <w:t xml:space="preserve">불가능한 경우 현실적인 최단 납기일을 즉시 바이어에게 투명하게 공지합니다.</w:t>
      </w:r>
    </w:p>
    <w:p>
      <w:pPr>
        <w:pStyle w:val="ListParagraph"/>
        <w:numPr>
          <w:ilvl w:val="0"/>
          <w:numId w:val="2"/>
        </w:numPr>
      </w:pPr>
      <w:r>
        <w:rPr>
          <w:rFonts w:ascii="맑은 고딕" w:cs="맑은 고딕" w:eastAsia="맑은 고딕" w:hAnsi="맑은 고딕"/>
          <w:sz w:val="22"/>
          <w:szCs w:val="22"/>
        </w:rPr>
        <w:t xml:space="preserve">납기 변경 합의 내용을 이메일로 문서화하여 계약 부속서로 첨부합니다.</w:t>
      </w:r>
    </w:p>
    <w:p>
      <w:r>
        <w:t xml:space="preserve"/>
      </w:r>
    </w:p>
    <w:p>
      <w:pPr>
        <w:pStyle w:val="Heading3"/>
      </w:pPr>
      <w:r>
        <w:rPr>
          <w:rFonts w:ascii="맑은 고딕" w:cs="맑은 고딕" w:eastAsia="맑은 고딕" w:hAnsi="맑은 고딕"/>
          <w:b/>
          <w:bCs/>
          <w:color w:val="404040"/>
          <w:sz w:val="24"/>
          <w:szCs w:val="24"/>
        </w:rPr>
        <w:t xml:space="preserve">Q4: Amazon 계정이 정책 위반으로 일시 정지(Suspended)되었을 때</w:t>
      </w:r>
    </w:p>
    <w:p>
      <w:pPr>
        <w:spacing w:after="120"/>
      </w:pPr>
      <w:r>
        <w:rPr>
          <w:rFonts w:ascii="맑은 고딕" w:cs="맑은 고딕" w:eastAsia="맑은 고딕" w:hAnsi="맑은 고딕"/>
          <w:sz w:val="22"/>
          <w:szCs w:val="22"/>
        </w:rPr>
        <w:t xml:space="preserve">▶ 상황: Amazon으로부터 정책 위반 통보를 받고 셀러 계정이 일시 정지되어 모든 리스팅 판매가 중단되었습니다.</w:t>
      </w:r>
    </w:p>
    <w:p>
      <w:pPr>
        <w:spacing w:after="120"/>
      </w:pPr>
      <w:r>
        <w:rPr>
          <w:rFonts w:ascii="맑은 고딕" w:cs="맑은 고딕" w:eastAsia="맑은 고딕" w:hAnsi="맑은 고딕"/>
          <w:sz w:val="22"/>
          <w:szCs w:val="22"/>
        </w:rPr>
        <w:t xml:space="preserve">▶ 원인: 상품 리스팅 정보 불일치, 고객 불만 급증, 지재권 침해 신고 등 다양한 원인으로 발생할 수 있습니다.</w:t>
      </w:r>
    </w:p>
    <w:p>
      <w:pPr>
        <w:spacing w:after="120"/>
      </w:pPr>
      <w:r>
        <w:rPr>
          <w:rFonts w:ascii="맑은 고딕" w:cs="맑은 고딕" w:eastAsia="맑은 고딕" w:hAnsi="맑은 고딕"/>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Amazon 정지 통보 메일을 정확히 분석하여 위반 사유를 파악합니다.</w:t>
      </w:r>
    </w:p>
    <w:p>
      <w:pPr>
        <w:pStyle w:val="ListParagraph"/>
        <w:numPr>
          <w:ilvl w:val="0"/>
          <w:numId w:val="2"/>
        </w:numPr>
      </w:pPr>
      <w:r>
        <w:rPr>
          <w:rFonts w:ascii="맑은 고딕" w:cs="맑은 고딕" w:eastAsia="맑은 고딕" w:hAnsi="맑은 고딕"/>
          <w:sz w:val="22"/>
          <w:szCs w:val="22"/>
        </w:rPr>
        <w:t xml:space="preserve">Plan of Action(POA)를 작성하여 문제 원인, 즉각 조치 내용, 재발 방지 계획을 명확히 기술합니다.</w:t>
      </w:r>
    </w:p>
    <w:p>
      <w:pPr>
        <w:pStyle w:val="ListParagraph"/>
        <w:numPr>
          <w:ilvl w:val="0"/>
          <w:numId w:val="2"/>
        </w:numPr>
      </w:pPr>
      <w:r>
        <w:rPr>
          <w:rFonts w:ascii="맑은 고딕" w:cs="맑은 고딕" w:eastAsia="맑은 고딕" w:hAnsi="맑은 고딕"/>
          <w:sz w:val="22"/>
          <w:szCs w:val="22"/>
        </w:rPr>
        <w:t xml:space="preserve">Amazon 셀러 지원팀에 POA를 제출하고 계정 복구를 요청합니다(보통 3~14일 소요).</w:t>
      </w:r>
    </w:p>
    <w:p>
      <w:pPr>
        <w:pStyle w:val="ListParagraph"/>
        <w:numPr>
          <w:ilvl w:val="0"/>
          <w:numId w:val="2"/>
        </w:numPr>
      </w:pPr>
      <w:r>
        <w:rPr>
          <w:rFonts w:ascii="맑은 고딕" w:cs="맑은 고딕" w:eastAsia="맑은 고딕" w:hAnsi="맑은 고딕"/>
          <w:sz w:val="22"/>
          <w:szCs w:val="22"/>
        </w:rPr>
        <w:t xml:space="preserve">계정 복구 기간 중 해당 제품을 다른 플랫폼(자사 글로벌몰·Walmart)으로 임시 전환하여 매출 손실을 최소화합니다.</w:t>
      </w:r>
    </w:p>
    <w:p>
      <w:pPr>
        <w:pStyle w:val="ListParagraph"/>
        <w:numPr>
          <w:ilvl w:val="0"/>
          <w:numId w:val="2"/>
        </w:numPr>
      </w:pPr>
      <w:r>
        <w:rPr>
          <w:rFonts w:ascii="맑은 고딕" w:cs="맑은 고딕" w:eastAsia="맑은 고딕" w:hAnsi="맑은 고딕"/>
          <w:sz w:val="22"/>
          <w:szCs w:val="22"/>
        </w:rPr>
        <w:t xml:space="preserve">재발 방지를 위해 Amazon 정책 정기 모니터링 체계를 구축하고 담당자 교육을 실시합니다.</w:t>
      </w:r>
    </w:p>
    <w:p>
      <w:r>
        <w:t xml:space="preserve"/>
      </w:r>
    </w:p>
    <w:p>
      <w:pPr>
        <w:pStyle w:val="Heading3"/>
      </w:pPr>
      <w:r>
        <w:rPr>
          <w:rFonts w:ascii="맑은 고딕" w:cs="맑은 고딕" w:eastAsia="맑은 고딕" w:hAnsi="맑은 고딕"/>
          <w:b/>
          <w:bCs/>
          <w:color w:val="404040"/>
          <w:sz w:val="24"/>
          <w:szCs w:val="24"/>
        </w:rPr>
        <w:t xml:space="preserve">Q5: 환율 급변으로 기존 가격 조건이 수익성 악화를 초래할 때</w:t>
      </w:r>
    </w:p>
    <w:p>
      <w:pPr>
        <w:spacing w:after="120"/>
      </w:pPr>
      <w:r>
        <w:rPr>
          <w:rFonts w:ascii="맑은 고딕" w:cs="맑은 고딕" w:eastAsia="맑은 고딕" w:hAnsi="맑은 고딕"/>
          <w:sz w:val="22"/>
          <w:szCs w:val="22"/>
        </w:rPr>
        <w:t xml:space="preserve">▶ 상황: 원화 강세로 달러 기준 수출 가격이 현지 경쟁사 대비 비싸졌고, 기존 바이어 계약 가격을 유지하면 수익성이 마이너스가 됩니다.</w:t>
      </w:r>
    </w:p>
    <w:p>
      <w:pPr>
        <w:spacing w:after="120"/>
      </w:pPr>
      <w:r>
        <w:rPr>
          <w:rFonts w:ascii="맑은 고딕" w:cs="맑은 고딕" w:eastAsia="맑은 고딕" w:hAnsi="맑은 고딕"/>
          <w:sz w:val="22"/>
          <w:szCs w:val="22"/>
        </w:rPr>
        <w:t xml:space="preserve">▶ 원인: 장기 고정 가격 계약 체결 시 환율 변동 리스크를 충분히 반영하지 않은 결과입니다.</w:t>
      </w:r>
    </w:p>
    <w:p>
      <w:pPr>
        <w:spacing w:after="120"/>
      </w:pPr>
      <w:r>
        <w:rPr>
          <w:rFonts w:ascii="맑은 고딕" w:cs="맑은 고딕" w:eastAsia="맑은 고딕" w:hAnsi="맑은 고딕"/>
          <w:sz w:val="22"/>
          <w:szCs w:val="22"/>
        </w:rPr>
        <w:t xml:space="preserve">▶ 해결 방법:</w:t>
      </w:r>
    </w:p>
    <w:p>
      <w:pPr>
        <w:pStyle w:val="ListParagraph"/>
        <w:numPr>
          <w:ilvl w:val="0"/>
          <w:numId w:val="2"/>
        </w:numPr>
      </w:pPr>
      <w:r>
        <w:rPr>
          <w:rFonts w:ascii="맑은 고딕" w:cs="맑은 고딕" w:eastAsia="맑은 고딕" w:hAnsi="맑은 고딕"/>
          <w:sz w:val="22"/>
          <w:szCs w:val="22"/>
        </w:rPr>
        <w:t xml:space="preserve">재무팀과 즉시 환율 영향 분석을 실시하여 손익분기 환율 수준을 파악합니다.</w:t>
      </w:r>
    </w:p>
    <w:p>
      <w:pPr>
        <w:pStyle w:val="ListParagraph"/>
        <w:numPr>
          <w:ilvl w:val="0"/>
          <w:numId w:val="2"/>
        </w:numPr>
      </w:pPr>
      <w:r>
        <w:rPr>
          <w:rFonts w:ascii="맑은 고딕" w:cs="맑은 고딕" w:eastAsia="맑은 고딕" w:hAnsi="맑은 고딕"/>
          <w:sz w:val="22"/>
          <w:szCs w:val="22"/>
        </w:rPr>
        <w:t xml:space="preserve">기존 바이어에게 환율 상황을 투명하게 설명하고 가격 재협상을 요청합니다.</w:t>
      </w:r>
    </w:p>
    <w:p>
      <w:pPr>
        <w:pStyle w:val="ListParagraph"/>
        <w:numPr>
          <w:ilvl w:val="0"/>
          <w:numId w:val="2"/>
        </w:numPr>
      </w:pPr>
      <w:r>
        <w:rPr>
          <w:rFonts w:ascii="맑은 고딕" w:cs="맑은 고딕" w:eastAsia="맑은 고딕" w:hAnsi="맑은 고딕"/>
          <w:sz w:val="22"/>
          <w:szCs w:val="22"/>
        </w:rPr>
        <w:t xml:space="preserve">신규 계약 시 환율 변동 조정 조항(Currency Adjustment Clause)을 계약서에 포함합니다.</w:t>
      </w:r>
    </w:p>
    <w:p>
      <w:pPr>
        <w:pStyle w:val="ListParagraph"/>
        <w:numPr>
          <w:ilvl w:val="0"/>
          <w:numId w:val="2"/>
        </w:numPr>
      </w:pPr>
      <w:r>
        <w:rPr>
          <w:rFonts w:ascii="맑은 고딕" w:cs="맑은 고딕" w:eastAsia="맑은 고딕" w:hAnsi="맑은 고딕"/>
          <w:sz w:val="22"/>
          <w:szCs w:val="22"/>
        </w:rPr>
        <w:t xml:space="preserve">재무팀에 선물환 계약 또는 환 헤지 상품 도입을 요청하여 미래 환율 리스크를 관리합니다.</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2026-05-16T10:32:27.868Z</dcterms:created>
  <dcterms:modified xsi:type="dcterms:W3CDTF">2026-05-16T10:32:27.868Z</dcterms:modified>
</cp:coreProperties>
</file>

<file path=docProps/custom.xml><?xml version="1.0" encoding="utf-8"?>
<Properties xmlns="http://schemas.openxmlformats.org/officeDocument/2006/custom-properties" xmlns:vt="http://schemas.openxmlformats.org/officeDocument/2006/docPropsVTypes"/>
</file>