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r>
        <w:t xml:space="preserve"/>
      </w:r>
    </w:p>
    <w:p>
      <w:pPr>
        <w:spacing w:after="400" w:before="2000"/>
        <w:jc w:val="center"/>
      </w:pPr>
      <w:r>
        <w:rPr>
          <w:rFonts w:ascii="맑은 고딕" w:cs="맑은 고딕" w:eastAsia="맑은 고딕" w:hAnsi="맑은 고딕"/>
          <w:b/>
          <w:bCs/>
          <w:color w:val="1F3864"/>
          <w:sz w:val="48"/>
          <w:szCs w:val="48"/>
        </w:rPr>
        <w:t xml:space="preserve">해외영업 기획/전략 업무 매뉴얼</w:t>
      </w:r>
    </w:p>
    <w:p>
      <w:pPr>
        <w:spacing w:after="240"/>
        <w:jc w:val="center"/>
      </w:pPr>
      <w:r>
        <w:rPr>
          <w:rFonts w:ascii="맑은 고딕" w:cs="맑은 고딕" w:eastAsia="맑은 고딕" w:hAnsi="맑은 고딕"/>
          <w:color w:val="2E75B6"/>
          <w:sz w:val="28"/>
          <w:szCs w:val="28"/>
        </w:rPr>
        <w:t xml:space="preserve">B2C 중소기업 해외영업팀 업무 매뉴얼</w:t>
      </w:r>
    </w:p>
    <w:p>
      <w:pPr>
        <w:jc w:val="center"/>
      </w:pPr>
      <w:r>
        <w:rPr>
          <w:rFonts w:ascii="맑은 고딕" w:cs="맑은 고딕" w:eastAsia="맑은 고딕" w:hAnsi="맑은 고딕"/>
          <w:color w:val="404040"/>
          <w:sz w:val="24"/>
          <w:szCs w:val="24"/>
        </w:rPr>
        <w:t xml:space="preserve">버전: v1.0 | 2025년</w:t>
      </w:r>
    </w:p>
    <w:p>
      <w:r>
        <w:br w:type="page"/>
      </w:r>
    </w:p>
    <w:p>
      <w:pPr>
        <w:pStyle w:val="Heading1"/>
      </w:pPr>
      <w:r>
        <w:rPr>
          <w:rFonts w:ascii="맑은 고딕" w:cs="맑은 고딕" w:eastAsia="맑은 고딕" w:hAnsi="맑은 고딕"/>
          <w:b/>
          <w:bCs/>
          <w:color w:val="1F3864"/>
          <w:sz w:val="32"/>
          <w:szCs w:val="32"/>
        </w:rPr>
        <w:t xml:space="preserve">1장. 직무 개요</w:t>
      </w:r>
    </w:p>
    <w:p>
      <w:pPr>
        <w:pStyle w:val="Heading2"/>
      </w:pPr>
      <w:r>
        <w:rPr>
          <w:rFonts w:ascii="맑은 고딕" w:cs="맑은 고딕" w:eastAsia="맑은 고딕" w:hAnsi="맑은 고딕"/>
          <w:b/>
          <w:bCs/>
          <w:color w:val="2E75B6"/>
          <w:sz w:val="28"/>
          <w:szCs w:val="28"/>
        </w:rPr>
        <w:t xml:space="preserve">1.1 직무 정의 및 역할</w:t>
      </w:r>
    </w:p>
    <w:p>
      <w:pPr>
        <w:spacing w:after="120"/>
      </w:pPr>
      <w:r>
        <w:rPr>
          <w:rFonts w:ascii="맑은 고딕" w:cs="맑은 고딕" w:eastAsia="맑은 고딕" w:hAnsi="맑은 고딕"/>
          <w:sz w:val="22"/>
          <w:szCs w:val="22"/>
        </w:rPr>
        <w:t xml:space="preserve">해외영업 기획/전략 담당자는 글로벌 시장 조사, 수출 목표 수립, 채널 믹스 전략, 영업 프로세스 표준화를 통해 해외 영업팀 전체의 방향성을 제시하는 전략가입니다. B2C 직접 수출(아마존·자사 글로벌몰), B2B 도매 수출(해외 바이어), 플랫폼 입점(라쿠텐·Lazada) 등 복합적인 수출 채널을 관리하며, 시장 데이터를 분석해 리소스 배분과 우선순위 결정을 주도합니다.</w:t>
      </w:r>
    </w:p>
    <w:p>
      <w:pPr>
        <w:spacing w:after="120"/>
      </w:pPr>
      <w:r>
        <w:rPr>
          <w:rFonts w:ascii="맑은 고딕" w:cs="맑은 고딕" w:eastAsia="맑은 고딕" w:hAnsi="맑은 고딕"/>
          <w:sz w:val="22"/>
          <w:szCs w:val="22"/>
        </w:rPr>
        <w:t xml:space="preserve">이 직무는 해외 영업팀이 올바른 방향으로 효율적으로 움직일 수 있도록 시스템과 기준을 만드는 역할을 합니다.</w:t>
      </w:r>
    </w:p>
    <w:p>
      <w:pPr>
        <w:pStyle w:val="Heading2"/>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2500"/>
        <w:gridCol w:w="2138"/>
      </w:tblGrid>
      <w:tr>
        <w:tc>
          <w:tcPr>
            <w:tcW w:type="dxa" w:w="2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협업 부서/직무</w:t>
            </w:r>
          </w:p>
        </w:tc>
        <w:tc>
          <w:tcPr>
            <w:tcW w:type="dxa" w:w="2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협업 내용</w:t>
            </w:r>
          </w:p>
        </w:tc>
        <w:tc>
          <w:tcPr>
            <w:tcW w:type="dxa" w:w="2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협업 주기</w:t>
            </w:r>
          </w:p>
        </w:tc>
        <w:tc>
          <w:tcPr>
            <w:tcW w:type="dxa" w:w="21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비고</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수출 영업(지역담당)</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지역별 목표 배분 및 실적 리뷰</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무역/통관 관리</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수출 규제·원산지 정보 공유</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해외 파트너/채널 관리</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채널 전략 및 파트너 온보딩 기준 제공</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해외 CS/클레임 처리</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클레임 데이터 기반 전략 개선 반영</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마케팅팀</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글로벌 캠페인 전략 협의</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재무팀</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해외 매출 예산 및 환율 영향 분석</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r>
    </w:tbl>
    <w:p>
      <w:r>
        <w:t xml:space="preserve"/>
      </w:r>
    </w:p>
    <w:p>
      <w:pPr>
        <w:pStyle w:val="Heading2"/>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5000"/>
        <w:gridCol w:w="2138"/>
      </w:tblGrid>
      <w:tr>
        <w:tc>
          <w:tcPr>
            <w:tcW w:type="dxa" w:w="2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역량</w:t>
            </w:r>
          </w:p>
        </w:tc>
        <w:tc>
          <w:tcPr>
            <w:tcW w:type="dxa" w:w="5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설명</w:t>
            </w:r>
          </w:p>
        </w:tc>
        <w:tc>
          <w:tcPr>
            <w:tcW w:type="dxa" w:w="21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중요도</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전략적 사고</w:t>
            </w:r>
          </w:p>
        </w:tc>
        <w:tc>
          <w:tcPr>
            <w:tcW w:type="dxa" w:w="5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시장 기회와 리스크를 분석해 실행 가능한 전략 수립</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상</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국제 시장 이해</w:t>
            </w:r>
          </w:p>
        </w:tc>
        <w:tc>
          <w:tcPr>
            <w:tcW w:type="dxa" w:w="5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미국·일본·동남아 등 주요 수출 시장의 소비 트렌드·규제 이해</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상</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데이터 분석</w:t>
            </w:r>
          </w:p>
        </w:tc>
        <w:tc>
          <w:tcPr>
            <w:tcW w:type="dxa" w:w="5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매출·시장 데이터 분석 및 인사이트 도출</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중</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영어 커뮤니케이션</w:t>
            </w:r>
          </w:p>
        </w:tc>
        <w:tc>
          <w:tcPr>
            <w:tcW w:type="dxa" w:w="5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해외 파트너·바이어와 협의 가능 수준</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상</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프로젝트 관리</w:t>
            </w:r>
          </w:p>
        </w:tc>
        <w:tc>
          <w:tcPr>
            <w:tcW w:type="dxa" w:w="5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복수 시장 동시 프로젝트 추진 경험</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중</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재무 이해</w:t>
            </w:r>
          </w:p>
        </w:tc>
        <w:tc>
          <w:tcPr>
            <w:tcW w:type="dxa" w:w="5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수익성·마진·환율 영향 기본 이해</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중</w:t>
            </w:r>
          </w:p>
        </w:tc>
      </w:tr>
    </w:tbl>
    <w:p>
      <w:r>
        <w:t xml:space="preserve"/>
      </w:r>
    </w:p>
    <w:p>
      <w:pPr>
        <w:pStyle w:val="Heading1"/>
      </w:pPr>
      <w:r>
        <w:rPr>
          <w:rFonts w:ascii="맑은 고딕" w:cs="맑은 고딕" w:eastAsia="맑은 고딕" w:hAnsi="맑은 고딕"/>
          <w:b/>
          <w:bCs/>
          <w:color w:val="1F3864"/>
          <w:sz w:val="32"/>
          <w:szCs w:val="32"/>
        </w:rPr>
        <w:t xml:space="preserve">2장. 핵심 업무별 상세 프로세스</w:t>
      </w:r>
    </w:p>
    <w:p>
      <w:pPr>
        <w:pStyle w:val="Heading2"/>
      </w:pPr>
      <w:r>
        <w:rPr>
          <w:rFonts w:ascii="맑은 고딕" w:cs="맑은 고딕" w:eastAsia="맑은 고딕" w:hAnsi="맑은 고딕"/>
          <w:b/>
          <w:bCs/>
          <w:color w:val="2E75B6"/>
          <w:sz w:val="28"/>
          <w:szCs w:val="28"/>
        </w:rPr>
        <w:t xml:space="preserve">2.1 해외 시장 조사 및 기회 발굴</w:t>
      </w:r>
    </w:p>
    <w:p>
      <w:pPr>
        <w:spacing w:after="120"/>
      </w:pPr>
      <w:r>
        <w:rPr>
          <w:rFonts w:ascii="맑은 고딕" w:cs="맑은 고딕" w:eastAsia="맑은 고딕" w:hAnsi="맑은 고딕"/>
          <w:sz w:val="22"/>
          <w:szCs w:val="22"/>
        </w:rPr>
        <w:t xml:space="preserve">■ 업무 프로세스</w:t>
      </w:r>
    </w:p>
    <w:p>
      <w:pPr>
        <w:pStyle w:val="ListParagraph"/>
        <w:numPr>
          <w:ilvl w:val="0"/>
          <w:numId w:val="2"/>
        </w:numPr>
      </w:pPr>
      <w:r>
        <w:rPr>
          <w:rFonts w:ascii="맑은 고딕" w:cs="맑은 고딕" w:eastAsia="맑은 고딕" w:hAnsi="맑은 고딕"/>
          <w:sz w:val="22"/>
          <w:szCs w:val="22"/>
        </w:rPr>
        <w:t xml:space="preserve">수출 목표 시장 우선순위 리스트 작성 - 시장 규모, 경쟁 강도, 진입 용이성 기준으로 3~5개국 선정</w:t>
      </w:r>
    </w:p>
    <w:p>
      <w:pPr>
        <w:pStyle w:val="ListParagraph"/>
        <w:numPr>
          <w:ilvl w:val="0"/>
          <w:numId w:val="2"/>
        </w:numPr>
      </w:pPr>
      <w:r>
        <w:rPr>
          <w:rFonts w:ascii="맑은 고딕" w:cs="맑은 고딕" w:eastAsia="맑은 고딕" w:hAnsi="맑은 고딕"/>
          <w:sz w:val="22"/>
          <w:szCs w:val="22"/>
        </w:rPr>
        <w:t xml:space="preserve">KOTRA 무역관 자료·ITC Trade Map·Euromonitor를 활용해 국가별 소비 트렌드와 수입 규제 조사</w:t>
      </w:r>
    </w:p>
    <w:p>
      <w:pPr>
        <w:pStyle w:val="ListParagraph"/>
        <w:numPr>
          <w:ilvl w:val="0"/>
          <w:numId w:val="2"/>
        </w:numPr>
      </w:pPr>
      <w:r>
        <w:rPr>
          <w:rFonts w:ascii="맑은 고딕" w:cs="맑은 고딕" w:eastAsia="맑은 고딕" w:hAnsi="맑은 고딕"/>
          <w:sz w:val="22"/>
          <w:szCs w:val="22"/>
        </w:rPr>
        <w:t xml:space="preserve">현지 주요 경쟁사의 가격·채널·마케팅 전략 분석 및 자사 경쟁력 GAP 파악</w:t>
      </w:r>
    </w:p>
    <w:p>
      <w:pPr>
        <w:pStyle w:val="ListParagraph"/>
        <w:numPr>
          <w:ilvl w:val="0"/>
          <w:numId w:val="2"/>
        </w:numPr>
      </w:pPr>
      <w:r>
        <w:rPr>
          <w:rFonts w:ascii="맑은 고딕" w:cs="맑은 고딕" w:eastAsia="맑은 고딕" w:hAnsi="맑은 고딕"/>
          <w:sz w:val="22"/>
          <w:szCs w:val="22"/>
        </w:rPr>
        <w:t xml:space="preserve">목표 시장별 기회·리스크 매트릭스 작성 후 내부 검토</w:t>
      </w:r>
    </w:p>
    <w:p>
      <w:pPr>
        <w:pStyle w:val="ListParagraph"/>
        <w:numPr>
          <w:ilvl w:val="0"/>
          <w:numId w:val="2"/>
        </w:numPr>
      </w:pPr>
      <w:r>
        <w:rPr>
          <w:rFonts w:ascii="맑은 고딕" w:cs="맑은 고딕" w:eastAsia="맑은 고딕" w:hAnsi="맑은 고딕"/>
          <w:sz w:val="22"/>
          <w:szCs w:val="22"/>
        </w:rPr>
        <w:t xml:space="preserve">진입 전략 옵션(직수출/플랫폼 입점/현지 파트너 유통) 시나리오별 비용·기간 분석</w:t>
      </w:r>
    </w:p>
    <w:p>
      <w:pPr>
        <w:pStyle w:val="ListParagraph"/>
        <w:numPr>
          <w:ilvl w:val="0"/>
          <w:numId w:val="2"/>
        </w:numPr>
      </w:pPr>
      <w:r>
        <w:rPr>
          <w:rFonts w:ascii="맑은 고딕" w:cs="맑은 고딕" w:eastAsia="맑은 고딕" w:hAnsi="맑은 고딕"/>
          <w:sz w:val="22"/>
          <w:szCs w:val="22"/>
        </w:rPr>
        <w:t xml:space="preserve">경영진 보고 및 시장 진입 우선순위 최종 결정</w:t>
      </w:r>
    </w:p>
    <w:p>
      <w:r>
        <w:t xml:space="preserve"/>
      </w:r>
    </w:p>
    <w:p>
      <w:pPr>
        <w:spacing w:after="120"/>
      </w:pPr>
      <w:r>
        <w:rPr>
          <w:rFonts w:ascii="맑은 고딕" w:cs="맑은 고딕" w:eastAsia="맑은 고딕" w:hAnsi="맑은 고딕"/>
          <w:sz w:val="22"/>
          <w:szCs w:val="22"/>
        </w:rPr>
        <w:t xml:space="preserve">■ 핵심 체계</w:t>
      </w:r>
    </w:p>
    <w:p>
      <w:pPr>
        <w:spacing w:after="120"/>
      </w:pPr>
      <w:r>
        <w:rPr>
          <w:rFonts w:ascii="맑은 고딕" w:cs="맑은 고딕" w:eastAsia="맑은 고딕" w:hAnsi="맑은 고딕"/>
          <w:sz w:val="22"/>
          <w:szCs w:val="22"/>
        </w:rPr>
        <w:t xml:space="preserve">시장 진입 단계별 주요 체크포인트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3000"/>
        <w:gridCol w:w="2638"/>
        <w:gridCol w:w="2000"/>
      </w:tblGrid>
      <w:tr>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단계</w:t>
            </w:r>
          </w:p>
        </w:tc>
        <w:tc>
          <w:tcPr>
            <w:tcW w:type="dxa" w:w="3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핵심 과제</w:t>
            </w:r>
          </w:p>
        </w:tc>
        <w:tc>
          <w:tcPr>
            <w:tcW w:type="dxa" w:w="26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활용 도구</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소요 기간</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시장 조사</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소비자 니즈·경쟁 현황 파악</w:t>
            </w:r>
          </w:p>
        </w:tc>
        <w:tc>
          <w:tcPr>
            <w:tcW w:type="dxa" w:w="2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KOTRA, Euromonitor, ITC</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2~4주</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규제 검토</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인증·라벨링·수입 제한 확인</w:t>
            </w:r>
          </w:p>
        </w:tc>
        <w:tc>
          <w:tcPr>
            <w:tcW w:type="dxa" w:w="2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각국 세관·KOTRA 해외 규제 포털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1~2주</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채널 선정</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플랫폼·파트너 비교 평가</w:t>
            </w:r>
          </w:p>
        </w:tc>
        <w:tc>
          <w:tcPr>
            <w:tcW w:type="dxa" w:w="2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현지 리서치·전시회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2~3주</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파일럿 테스트</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소규모 테스트 판매 실행</w:t>
            </w:r>
          </w:p>
        </w:tc>
        <w:tc>
          <w:tcPr>
            <w:tcW w:type="dxa" w:w="2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Amazon FBA, 라쿠텐</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1~3개월</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정식 진입</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풀스케일 론칭 및 마케팅</w:t>
            </w:r>
          </w:p>
        </w:tc>
        <w:tc>
          <w:tcPr>
            <w:tcW w:type="dxa" w:w="2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전체 채널 동시 운영</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분기별</w:t>
            </w:r>
          </w:p>
        </w:tc>
      </w:tr>
    </w:tbl>
    <w:p>
      <w:r>
        <w:t xml:space="preserve"/>
      </w:r>
    </w:p>
    <w:p>
      <w:pPr>
        <w:spacing w:after="120"/>
      </w:pPr>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체크리스트 항목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수출 목표 국가 우선순위 3~5개 확정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KOTRA 무역관 자료 및 바이어 DB 검토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현지 경쟁사 가격대 및 판매 채널 분석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수입 관세율 및 통관 규제 사전 조사</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현지 필수 인증·라벨링 요건 목록화</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소비자 트렌드 리포트 확보(Euromonitor 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자사 제품 경쟁력 GAP 분석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시장 진입 시나리오 3가지 이상 작성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기회·리스크 매트릭스 내부 검토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경영진 시장 조사 결과 보고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목표 시장 최종 선정 결정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시장 진입 타임라인 및 담당자 확정</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bl>
    <w:p>
      <w:r>
        <w:t xml:space="preserve"/>
      </w:r>
    </w:p>
    <w:p>
      <w:pPr>
        <w:pStyle w:val="Heading2"/>
      </w:pPr>
      <w:r>
        <w:rPr>
          <w:rFonts w:ascii="맑은 고딕" w:cs="맑은 고딕" w:eastAsia="맑은 고딕" w:hAnsi="맑은 고딕"/>
          <w:b/>
          <w:bCs/>
          <w:color w:val="2E75B6"/>
          <w:sz w:val="28"/>
          <w:szCs w:val="28"/>
        </w:rPr>
        <w:t xml:space="preserve">2.2 해외 영업 목표 수립 및 예산 계획</w:t>
      </w:r>
    </w:p>
    <w:p>
      <w:pPr>
        <w:spacing w:after="120"/>
      </w:pPr>
      <w:r>
        <w:rPr>
          <w:rFonts w:ascii="맑은 고딕" w:cs="맑은 고딕" w:eastAsia="맑은 고딕" w:hAnsi="맑은 고딕"/>
          <w:sz w:val="22"/>
          <w:szCs w:val="22"/>
        </w:rPr>
        <w:t xml:space="preserve">■ 업무 프로세스</w:t>
      </w:r>
    </w:p>
    <w:p>
      <w:pPr>
        <w:pStyle w:val="ListParagraph"/>
        <w:numPr>
          <w:ilvl w:val="0"/>
          <w:numId w:val="2"/>
        </w:numPr>
      </w:pPr>
      <w:r>
        <w:rPr>
          <w:rFonts w:ascii="맑은 고딕" w:cs="맑은 고딕" w:eastAsia="맑은 고딕" w:hAnsi="맑은 고딕"/>
          <w:sz w:val="22"/>
          <w:szCs w:val="22"/>
        </w:rPr>
        <w:t xml:space="preserve">전년도 채널별·지역별 해외 매출 실적을 CRM·ERP에서 추출하여 분석</w:t>
      </w:r>
    </w:p>
    <w:p>
      <w:pPr>
        <w:pStyle w:val="ListParagraph"/>
        <w:numPr>
          <w:ilvl w:val="0"/>
          <w:numId w:val="2"/>
        </w:numPr>
      </w:pPr>
      <w:r>
        <w:rPr>
          <w:rFonts w:ascii="맑은 고딕" w:cs="맑은 고딕" w:eastAsia="맑은 고딕" w:hAnsi="맑은 고딕"/>
          <w:sz w:val="22"/>
          <w:szCs w:val="22"/>
        </w:rPr>
        <w:t xml:space="preserve">목표 시장 성장률, 경쟁 환경 변화를 반영한 연간 수출 목표 초안 작성</w:t>
      </w:r>
    </w:p>
    <w:p>
      <w:pPr>
        <w:pStyle w:val="ListParagraph"/>
        <w:numPr>
          <w:ilvl w:val="0"/>
          <w:numId w:val="2"/>
        </w:numPr>
      </w:pPr>
      <w:r>
        <w:rPr>
          <w:rFonts w:ascii="맑은 고딕" w:cs="맑은 고딕" w:eastAsia="맑은 고딕" w:hAnsi="맑은 고딕"/>
          <w:sz w:val="22"/>
          <w:szCs w:val="22"/>
        </w:rPr>
        <w:t xml:space="preserve">환율 변동 3가지 시나리오(낙관·기본·보수) 반영하여 목표 조정</w:t>
      </w:r>
    </w:p>
    <w:p>
      <w:pPr>
        <w:pStyle w:val="ListParagraph"/>
        <w:numPr>
          <w:ilvl w:val="0"/>
          <w:numId w:val="2"/>
        </w:numPr>
      </w:pPr>
      <w:r>
        <w:rPr>
          <w:rFonts w:ascii="맑은 고딕" w:cs="맑은 고딕" w:eastAsia="맑은 고딕" w:hAnsi="맑은 고딕"/>
          <w:sz w:val="22"/>
          <w:szCs w:val="22"/>
        </w:rPr>
        <w:t xml:space="preserve">채널별·지역별·담당자별 세부 목표 배분 초안 작성</w:t>
      </w:r>
    </w:p>
    <w:p>
      <w:pPr>
        <w:pStyle w:val="ListParagraph"/>
        <w:numPr>
          <w:ilvl w:val="0"/>
          <w:numId w:val="2"/>
        </w:numPr>
      </w:pPr>
      <w:r>
        <w:rPr>
          <w:rFonts w:ascii="맑은 고딕" w:cs="맑은 고딕" w:eastAsia="맑은 고딕" w:hAnsi="맑은 고딕"/>
          <w:sz w:val="22"/>
          <w:szCs w:val="22"/>
        </w:rPr>
        <w:t xml:space="preserve">해외 영업 예산(마케팅·출장·인증·물류·플랫폼 수수료) 항목별 산정</w:t>
      </w:r>
    </w:p>
    <w:p>
      <w:pPr>
        <w:pStyle w:val="ListParagraph"/>
        <w:numPr>
          <w:ilvl w:val="0"/>
          <w:numId w:val="2"/>
        </w:numPr>
      </w:pPr>
      <w:r>
        <w:rPr>
          <w:rFonts w:ascii="맑은 고딕" w:cs="맑은 고딕" w:eastAsia="맑은 고딕" w:hAnsi="맑은 고딕"/>
          <w:sz w:val="22"/>
          <w:szCs w:val="22"/>
        </w:rPr>
        <w:t xml:space="preserve">담당자 합의 → 경영진 최종 승인 → 전 팀원 공지</w:t>
      </w:r>
    </w:p>
    <w:p>
      <w:r>
        <w:t xml:space="preserve"/>
      </w:r>
    </w:p>
    <w:p>
      <w:pPr>
        <w:spacing w:after="120"/>
      </w:pPr>
      <w:r>
        <w:rPr>
          <w:rFonts w:ascii="맑은 고딕" w:cs="맑은 고딕" w:eastAsia="맑은 고딕" w:hAnsi="맑은 고딕"/>
          <w:sz w:val="22"/>
          <w:szCs w:val="22"/>
        </w:rPr>
        <w:t xml:space="preserve">■ 핵심 체계</w:t>
      </w:r>
    </w:p>
    <w:p>
      <w:pPr>
        <w:spacing w:after="120"/>
      </w:pPr>
      <w:r>
        <w:rPr>
          <w:rFonts w:ascii="맑은 고딕" w:cs="맑은 고딕" w:eastAsia="맑은 고딕" w:hAnsi="맑은 고딕"/>
          <w:sz w:val="22"/>
          <w:szCs w:val="22"/>
        </w:rPr>
        <w:t xml:space="preserve">해외 영업 목표 수립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3638"/>
        <w:gridCol w:w="2000"/>
        <w:gridCol w:w="2000"/>
      </w:tblGrid>
      <w:tr>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구분</w:t>
            </w:r>
          </w:p>
        </w:tc>
        <w:tc>
          <w:tcPr>
            <w:tcW w:type="dxa" w:w="36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내용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참고 지표</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검토 주기</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연간 수출 목표</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전년 실적·시장 성장률 기반 설정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CAGR, 시장 성장률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연간</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채널별 배분</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B2C·B2B·플랫폼 매출 비율 결정</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채널별 마진율</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지역별 배분</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미주·아시아·유럽 지역별 목표</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시장 규모·잠재력</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분기별 배분</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계절성·시즌 반영한 분기 목표</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전년 분기별 실적</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예산 배분</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채널별 마케팅·운영비 할당</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목표 ROI</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r>
    </w:tbl>
    <w:p>
      <w:r>
        <w:t xml:space="preserve"/>
      </w:r>
    </w:p>
    <w:p>
      <w:pPr>
        <w:spacing w:after="120"/>
      </w:pPr>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체크리스트 항목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전년 해외 매출 채널·지역별 실적 분석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시장 성장률 데이터 수집(KOTRA, ITC)</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환율 3가지 시나리오 작성</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채널별(B2C·B2B·플랫폼) 목표 배분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지역별 목표 배분 및 담당자 합의</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해외 영업 예산 항목별 산정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분기별 마일스톤 설정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경영진 목표 승인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담당자 개인 KPI 설정 및 공지</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인센티브 구조 확정</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bl>
    <w:p>
      <w:r>
        <w:t xml:space="preserve"/>
      </w:r>
    </w:p>
    <w:p>
      <w:pPr>
        <w:pStyle w:val="Heading2"/>
      </w:pPr>
      <w:r>
        <w:rPr>
          <w:rFonts w:ascii="맑은 고딕" w:cs="맑은 고딕" w:eastAsia="맑은 고딕" w:hAnsi="맑은 고딕"/>
          <w:b/>
          <w:bCs/>
          <w:color w:val="2E75B6"/>
          <w:sz w:val="28"/>
          <w:szCs w:val="28"/>
        </w:rPr>
        <w:t xml:space="preserve">2.3 글로벌 채널 믹스 전략 수립</w:t>
      </w:r>
    </w:p>
    <w:p>
      <w:pPr>
        <w:spacing w:after="120"/>
      </w:pPr>
      <w:r>
        <w:rPr>
          <w:rFonts w:ascii="맑은 고딕" w:cs="맑은 고딕" w:eastAsia="맑은 고딕" w:hAnsi="맑은 고딕"/>
          <w:sz w:val="22"/>
          <w:szCs w:val="22"/>
        </w:rPr>
        <w:t xml:space="preserve">■ 업무 프로세스</w:t>
      </w:r>
    </w:p>
    <w:p>
      <w:pPr>
        <w:pStyle w:val="ListParagraph"/>
        <w:numPr>
          <w:ilvl w:val="0"/>
          <w:numId w:val="2"/>
        </w:numPr>
      </w:pPr>
      <w:r>
        <w:rPr>
          <w:rFonts w:ascii="맑은 고딕" w:cs="맑은 고딕" w:eastAsia="맑은 고딕" w:hAnsi="맑은 고딕"/>
          <w:sz w:val="22"/>
          <w:szCs w:val="22"/>
        </w:rPr>
        <w:t xml:space="preserve">현재 활성 해외 채널(Amazon·라쿠텐·Lazada·자사 글로벌몰·B2B 바이어) 매출 현황 파악</w:t>
      </w:r>
    </w:p>
    <w:p>
      <w:pPr>
        <w:pStyle w:val="ListParagraph"/>
        <w:numPr>
          <w:ilvl w:val="0"/>
          <w:numId w:val="2"/>
        </w:numPr>
      </w:pPr>
      <w:r>
        <w:rPr>
          <w:rFonts w:ascii="맑은 고딕" w:cs="맑은 고딕" w:eastAsia="맑은 고딕" w:hAnsi="맑은 고딕"/>
          <w:sz w:val="22"/>
          <w:szCs w:val="22"/>
        </w:rPr>
        <w:t xml:space="preserve">채널별 매출 기여율·마진율·고객 재구매율 분석</w:t>
      </w:r>
    </w:p>
    <w:p>
      <w:pPr>
        <w:pStyle w:val="ListParagraph"/>
        <w:numPr>
          <w:ilvl w:val="0"/>
          <w:numId w:val="2"/>
        </w:numPr>
      </w:pPr>
      <w:r>
        <w:rPr>
          <w:rFonts w:ascii="맑은 고딕" w:cs="맑은 고딕" w:eastAsia="맑은 고딕" w:hAnsi="맑은 고딕"/>
          <w:sz w:val="22"/>
          <w:szCs w:val="22"/>
        </w:rPr>
        <w:t xml:space="preserve">신규 채널 후보 발굴 및 진입 타당성(투자 대비 효과) 검토</w:t>
      </w:r>
    </w:p>
    <w:p>
      <w:pPr>
        <w:pStyle w:val="ListParagraph"/>
        <w:numPr>
          <w:ilvl w:val="0"/>
          <w:numId w:val="2"/>
        </w:numPr>
      </w:pPr>
      <w:r>
        <w:rPr>
          <w:rFonts w:ascii="맑은 고딕" w:cs="맑은 고딕" w:eastAsia="맑은 고딕" w:hAnsi="맑은 고딕"/>
          <w:sz w:val="22"/>
          <w:szCs w:val="22"/>
        </w:rPr>
        <w:t xml:space="preserve">채널 간 가격 일관성 정책 수립 및 문서화</w:t>
      </w:r>
    </w:p>
    <w:p>
      <w:pPr>
        <w:pStyle w:val="ListParagraph"/>
        <w:numPr>
          <w:ilvl w:val="0"/>
          <w:numId w:val="2"/>
        </w:numPr>
      </w:pPr>
      <w:r>
        <w:rPr>
          <w:rFonts w:ascii="맑은 고딕" w:cs="맑은 고딕" w:eastAsia="맑은 고딕" w:hAnsi="맑은 고딕"/>
          <w:sz w:val="22"/>
          <w:szCs w:val="22"/>
        </w:rPr>
        <w:t xml:space="preserve">채널별 재고 배분 우선순위 및 기준 결정</w:t>
      </w:r>
    </w:p>
    <w:p>
      <w:pPr>
        <w:pStyle w:val="ListParagraph"/>
        <w:numPr>
          <w:ilvl w:val="0"/>
          <w:numId w:val="2"/>
        </w:numPr>
      </w:pPr>
      <w:r>
        <w:rPr>
          <w:rFonts w:ascii="맑은 고딕" w:cs="맑은 고딕" w:eastAsia="맑은 고딕" w:hAnsi="맑은 고딕"/>
          <w:sz w:val="22"/>
          <w:szCs w:val="22"/>
        </w:rPr>
        <w:t xml:space="preserve">분기별 채널 믹스 리뷰 일정 설정 및 조정 실행</w:t>
      </w:r>
    </w:p>
    <w:p>
      <w:r>
        <w:t xml:space="preserve"/>
      </w:r>
    </w:p>
    <w:p>
      <w:pPr>
        <w:spacing w:after="120"/>
      </w:pPr>
      <w:r>
        <w:rPr>
          <w:rFonts w:ascii="맑은 고딕" w:cs="맑은 고딕" w:eastAsia="맑은 고딕" w:hAnsi="맑은 고딕"/>
          <w:sz w:val="22"/>
          <w:szCs w:val="22"/>
        </w:rPr>
        <w:t xml:space="preserve">■ 핵심 체계</w:t>
      </w:r>
    </w:p>
    <w:p>
      <w:pPr>
        <w:spacing w:after="120"/>
      </w:pPr>
      <w:r>
        <w:rPr>
          <w:rFonts w:ascii="맑은 고딕" w:cs="맑은 고딕" w:eastAsia="맑은 고딕" w:hAnsi="맑은 고딕"/>
          <w:sz w:val="22"/>
          <w:szCs w:val="22"/>
        </w:rPr>
        <w:t xml:space="preserve">해외 판매 채널별 특성 비교</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200"/>
        <w:gridCol w:w="3038"/>
      </w:tblGrid>
      <w:tr>
        <w:tc>
          <w:tcPr>
            <w:tcW w:type="dxa" w:w="2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채널 유형</w:t>
            </w:r>
          </w:p>
        </w:tc>
        <w:tc>
          <w:tcPr>
            <w:tcW w:type="dxa" w:w="2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장점</w:t>
            </w:r>
          </w:p>
        </w:tc>
        <w:tc>
          <w:tcPr>
            <w:tcW w:type="dxa" w:w="2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단점</w:t>
            </w:r>
          </w:p>
        </w:tc>
        <w:tc>
          <w:tcPr>
            <w:tcW w:type="dxa" w:w="30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적합 시장</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Amazon FBA</w:t>
            </w:r>
          </w:p>
        </w:tc>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즉시 고객 접근·물류 편의</w:t>
            </w:r>
          </w:p>
        </w:tc>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수수료 높음(약 15%)</w:t>
            </w:r>
          </w:p>
        </w:tc>
        <w:tc>
          <w:tcPr>
            <w:tcW w:type="dxa" w:w="30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미국·유럽</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자사 글로벌몰</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브랜드 컨트롤·고마진</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초기 트래픽 확보 어려움</w:t>
            </w:r>
          </w:p>
        </w:tc>
        <w:tc>
          <w:tcPr>
            <w:tcW w:type="dxa" w:w="30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전 세계</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라쿠텐(일본)</w:t>
            </w:r>
          </w:p>
        </w:tc>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일본 충성 고객 기반</w:t>
            </w:r>
          </w:p>
        </w:tc>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입점 심사 까다로움</w:t>
            </w:r>
          </w:p>
        </w:tc>
        <w:tc>
          <w:tcPr>
            <w:tcW w:type="dxa" w:w="30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일본</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Lazada/Shopee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동남아 광범위 커버</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복잡한 물류·현지화 필요</w:t>
            </w:r>
          </w:p>
        </w:tc>
        <w:tc>
          <w:tcPr>
            <w:tcW w:type="dxa" w:w="30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동남아시아</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B2B 바이어 직수출</w:t>
            </w:r>
          </w:p>
        </w:tc>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대량 거래·안정적 수익</w:t>
            </w:r>
          </w:p>
        </w:tc>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낮은 마진·긴 협상 기간</w:t>
            </w:r>
          </w:p>
        </w:tc>
        <w:tc>
          <w:tcPr>
            <w:tcW w:type="dxa" w:w="30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전 세계</w:t>
            </w:r>
          </w:p>
        </w:tc>
      </w:tr>
    </w:tbl>
    <w:p>
      <w:r>
        <w:t xml:space="preserve"/>
      </w:r>
    </w:p>
    <w:p>
      <w:pPr>
        <w:spacing w:after="120"/>
      </w:pPr>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체크리스트 항목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현재 활성 채널 매출 기여율 최신화</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채널별 마진율 및 수수료 비교표 작성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신규 채널 진입 후보 3개 이상 발굴</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채널별 가격 일관성 정책 문서화</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채널 간 재고 배분 기준 수립</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채널 담당자(지역 영업) 역할 배분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플랫폼별 수수료 정기 모니터링 체계 구축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분기별 채널 믹스 리뷰 일정 설정</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채널별 ROI 목표 설정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채널 갈등(가격 충돌) 방지 정책 수립</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bl>
    <w:p>
      <w:r>
        <w:t xml:space="preserve"/>
      </w:r>
    </w:p>
    <w:p>
      <w:pPr>
        <w:pStyle w:val="Heading2"/>
      </w:pPr>
      <w:r>
        <w:rPr>
          <w:rFonts w:ascii="맑은 고딕" w:cs="맑은 고딕" w:eastAsia="맑은 고딕" w:hAnsi="맑은 고딕"/>
          <w:b/>
          <w:bCs/>
          <w:color w:val="2E75B6"/>
          <w:sz w:val="28"/>
          <w:szCs w:val="28"/>
        </w:rPr>
        <w:t xml:space="preserve">2.4 해외 영업 프로세스 표준화</w:t>
      </w:r>
    </w:p>
    <w:p>
      <w:pPr>
        <w:spacing w:after="120"/>
      </w:pPr>
      <w:r>
        <w:rPr>
          <w:rFonts w:ascii="맑은 고딕" w:cs="맑은 고딕" w:eastAsia="맑은 고딕" w:hAnsi="맑은 고딕"/>
          <w:sz w:val="22"/>
          <w:szCs w:val="22"/>
        </w:rPr>
        <w:t xml:space="preserve">■ 업무 프로세스</w:t>
      </w:r>
    </w:p>
    <w:p>
      <w:pPr>
        <w:pStyle w:val="ListParagraph"/>
        <w:numPr>
          <w:ilvl w:val="0"/>
          <w:numId w:val="2"/>
        </w:numPr>
      </w:pPr>
      <w:r>
        <w:rPr>
          <w:rFonts w:ascii="맑은 고딕" w:cs="맑은 고딕" w:eastAsia="맑은 고딕" w:hAnsi="맑은 고딕"/>
          <w:sz w:val="22"/>
          <w:szCs w:val="22"/>
        </w:rPr>
        <w:t xml:space="preserve">현재 해외 영업 단계(리드 발굴→첫 접촉→샘플→협상→계약→납품) 전체 프로세스 문서화</w:t>
      </w:r>
    </w:p>
    <w:p>
      <w:pPr>
        <w:pStyle w:val="ListParagraph"/>
        <w:numPr>
          <w:ilvl w:val="0"/>
          <w:numId w:val="2"/>
        </w:numPr>
      </w:pPr>
      <w:r>
        <w:rPr>
          <w:rFonts w:ascii="맑은 고딕" w:cs="맑은 고딕" w:eastAsia="맑은 고딕" w:hAnsi="맑은 고딕"/>
          <w:sz w:val="22"/>
          <w:szCs w:val="22"/>
        </w:rPr>
        <w:t xml:space="preserve">단계별 표준 템플릿(오퍼 시트·계약서·인보이스·아웃리치 이메일) 영문 버전 작성</w:t>
      </w:r>
    </w:p>
    <w:p>
      <w:pPr>
        <w:pStyle w:val="ListParagraph"/>
        <w:numPr>
          <w:ilvl w:val="0"/>
          <w:numId w:val="2"/>
        </w:numPr>
      </w:pPr>
      <w:r>
        <w:rPr>
          <w:rFonts w:ascii="맑은 고딕" w:cs="맑은 고딕" w:eastAsia="맑은 고딕" w:hAnsi="맑은 고딕"/>
          <w:sz w:val="22"/>
          <w:szCs w:val="22"/>
        </w:rPr>
        <w:t xml:space="preserve">CRM에 해외 영업 파이프라인 단계를 설정하고 전 팀원 사용 통일</w:t>
      </w:r>
    </w:p>
    <w:p>
      <w:pPr>
        <w:pStyle w:val="ListParagraph"/>
        <w:numPr>
          <w:ilvl w:val="0"/>
          <w:numId w:val="2"/>
        </w:numPr>
      </w:pPr>
      <w:r>
        <w:rPr>
          <w:rFonts w:ascii="맑은 고딕" w:cs="맑은 고딕" w:eastAsia="맑은 고딕" w:hAnsi="맑은 고딕"/>
          <w:sz w:val="22"/>
          <w:szCs w:val="22"/>
        </w:rPr>
        <w:t xml:space="preserve">표준 영업 스크립트(콜·이메일·화상 미팅) 및 영문 FAQ 작성</w:t>
      </w:r>
    </w:p>
    <w:p>
      <w:pPr>
        <w:pStyle w:val="ListParagraph"/>
        <w:numPr>
          <w:ilvl w:val="0"/>
          <w:numId w:val="2"/>
        </w:numPr>
      </w:pPr>
      <w:r>
        <w:rPr>
          <w:rFonts w:ascii="맑은 고딕" w:cs="맑은 고딕" w:eastAsia="맑은 고딕" w:hAnsi="맑은 고딕"/>
          <w:sz w:val="22"/>
          <w:szCs w:val="22"/>
        </w:rPr>
        <w:t xml:space="preserve">신규 해외 영업사원 온보딩 교육 프로그램(30일 플랜) 수립</w:t>
      </w:r>
    </w:p>
    <w:p>
      <w:pPr>
        <w:pStyle w:val="ListParagraph"/>
        <w:numPr>
          <w:ilvl w:val="0"/>
          <w:numId w:val="2"/>
        </w:numPr>
      </w:pPr>
      <w:r>
        <w:rPr>
          <w:rFonts w:ascii="맑은 고딕" w:cs="맑은 고딕" w:eastAsia="맑은 고딕" w:hAnsi="맑은 고딕"/>
          <w:sz w:val="22"/>
          <w:szCs w:val="22"/>
        </w:rPr>
        <w:t xml:space="preserve">분기별 프로세스 준수율 모니터링 및 개선 회의 진행</w:t>
      </w:r>
    </w:p>
    <w:p>
      <w:r>
        <w:t xml:space="preserve"/>
      </w:r>
    </w:p>
    <w:p>
      <w:pPr>
        <w:spacing w:after="120"/>
      </w:pPr>
      <w:r>
        <w:rPr>
          <w:rFonts w:ascii="맑은 고딕" w:cs="맑은 고딕" w:eastAsia="맑은 고딕" w:hAnsi="맑은 고딕"/>
          <w:sz w:val="22"/>
          <w:szCs w:val="22"/>
        </w:rPr>
        <w:t xml:space="preserve">■ 핵심 체계</w:t>
      </w:r>
    </w:p>
    <w:p>
      <w:pPr>
        <w:spacing w:after="120"/>
      </w:pPr>
      <w:r>
        <w:rPr>
          <w:rFonts w:ascii="맑은 고딕" w:cs="맑은 고딕" w:eastAsia="맑은 고딕" w:hAnsi="맑은 고딕"/>
          <w:sz w:val="22"/>
          <w:szCs w:val="22"/>
        </w:rPr>
        <w:t xml:space="preserve">해외 영업 프로세스 단계별 표준</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800"/>
        <w:gridCol w:w="3000"/>
        <w:gridCol w:w="2000"/>
        <w:gridCol w:w="2838"/>
      </w:tblGrid>
      <w:tr>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단계</w:t>
            </w:r>
          </w:p>
        </w:tc>
        <w:tc>
          <w:tcPr>
            <w:tcW w:type="dxa" w:w="3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주요 활동</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표준 기간</w:t>
            </w:r>
          </w:p>
        </w:tc>
        <w:tc>
          <w:tcPr>
            <w:tcW w:type="dxa" w:w="2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산출물</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리드 발굴</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바이어 DB·전시회·플랫폼 탐색</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상시</w:t>
            </w:r>
          </w:p>
        </w:tc>
        <w:tc>
          <w:tcPr>
            <w:tcW w:type="dxa" w:w="2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잠재 바이어 리스트</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첫 접촉</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이메일·LinkedIn 아웃리치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접수 후 1~7일</w:t>
            </w:r>
          </w:p>
        </w:tc>
        <w:tc>
          <w:tcPr>
            <w:tcW w:type="dxa" w:w="2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아웃리치 이메일</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샘플 협의</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샘플 발송 및 피드백 수집</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14~30일</w:t>
            </w:r>
          </w:p>
        </w:tc>
        <w:tc>
          <w:tcPr>
            <w:tcW w:type="dxa" w:w="2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샘플 발송 내역</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가격 협상</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오퍼 시트 발송 및 협상</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30~60일</w:t>
            </w:r>
          </w:p>
        </w:tc>
        <w:tc>
          <w:tcPr>
            <w:tcW w:type="dxa" w:w="2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Offer Sheet</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계약 체결</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계약서 서명·법무 검토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60~90일</w:t>
            </w:r>
          </w:p>
        </w:tc>
        <w:tc>
          <w:tcPr>
            <w:tcW w:type="dxa" w:w="2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서명 계약서</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납품</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선적·통관·대금 회수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계약 후 30~60일</w:t>
            </w:r>
          </w:p>
        </w:tc>
        <w:tc>
          <w:tcPr>
            <w:tcW w:type="dxa" w:w="2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선적 서류 일체</w:t>
            </w:r>
          </w:p>
        </w:tc>
      </w:tr>
    </w:tbl>
    <w:p>
      <w:r>
        <w:t xml:space="preserve"/>
      </w:r>
    </w:p>
    <w:p>
      <w:pPr>
        <w:spacing w:after="120"/>
      </w:pPr>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체크리스트 항목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해외 영업 프로세스 단계 문서화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표준 오퍼 시트 템플릿(영문) 작성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표준 계약서 템플릿(한·영) 법무 검토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CRM 해외 파이프라인 단계 설정</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영문 아웃리치 이메일 템플릿 5종 작성</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해외 바이어 FAQ 영문 문서 작성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온보딩 교육 자료(신규 해외 영업사원용) 완성</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30일 신규 온보딩 플랜 수립</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프로세스 준수율 모니터링 체계 구축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 프로세스 리뷰 일정 설정</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Best Practice 사례 내부 공유 체계 구축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bl>
    <w:p>
      <w:r>
        <w:t xml:space="preserve"/>
      </w:r>
    </w:p>
    <w:p>
      <w:pPr>
        <w:pStyle w:val="Heading2"/>
      </w:pPr>
      <w:r>
        <w:rPr>
          <w:rFonts w:ascii="맑은 고딕" w:cs="맑은 고딕" w:eastAsia="맑은 고딕" w:hAnsi="맑은 고딕"/>
          <w:b/>
          <w:bCs/>
          <w:color w:val="2E75B6"/>
          <w:sz w:val="28"/>
          <w:szCs w:val="28"/>
        </w:rPr>
        <w:t xml:space="preserve">2.5 해외 경쟁사 및 시장 동향 모니터링</w:t>
      </w:r>
    </w:p>
    <w:p>
      <w:pPr>
        <w:spacing w:after="120"/>
      </w:pPr>
      <w:r>
        <w:rPr>
          <w:rFonts w:ascii="맑은 고딕" w:cs="맑은 고딕" w:eastAsia="맑은 고딕" w:hAnsi="맑은 고딕"/>
          <w:sz w:val="22"/>
          <w:szCs w:val="22"/>
        </w:rPr>
        <w:t xml:space="preserve">■ 업무 프로세스</w:t>
      </w:r>
    </w:p>
    <w:p>
      <w:pPr>
        <w:pStyle w:val="ListParagraph"/>
        <w:numPr>
          <w:ilvl w:val="0"/>
          <w:numId w:val="2"/>
        </w:numPr>
      </w:pPr>
      <w:r>
        <w:rPr>
          <w:rFonts w:ascii="맑은 고딕" w:cs="맑은 고딕" w:eastAsia="맑은 고딕" w:hAnsi="맑은 고딕"/>
          <w:sz w:val="22"/>
          <w:szCs w:val="22"/>
        </w:rPr>
        <w:t xml:space="preserve">주요 수출 시장별 직접·간접 경쟁사 리스트 작성 및 분기별 업데이트</w:t>
      </w:r>
    </w:p>
    <w:p>
      <w:pPr>
        <w:pStyle w:val="ListParagraph"/>
        <w:numPr>
          <w:ilvl w:val="0"/>
          <w:numId w:val="2"/>
        </w:numPr>
      </w:pPr>
      <w:r>
        <w:rPr>
          <w:rFonts w:ascii="맑은 고딕" w:cs="맑은 고딕" w:eastAsia="맑은 고딕" w:hAnsi="맑은 고딕"/>
          <w:sz w:val="22"/>
          <w:szCs w:val="22"/>
        </w:rPr>
        <w:t xml:space="preserve">경쟁사 가격·채널·프로모션 전략 월간 모니터링(Amazon·플랫폼 가격 자동 추적 툴 활용)</w:t>
      </w:r>
    </w:p>
    <w:p>
      <w:pPr>
        <w:pStyle w:val="ListParagraph"/>
        <w:numPr>
          <w:ilvl w:val="0"/>
          <w:numId w:val="2"/>
        </w:numPr>
      </w:pPr>
      <w:r>
        <w:rPr>
          <w:rFonts w:ascii="맑은 고딕" w:cs="맑은 고딕" w:eastAsia="맑은 고딕" w:hAnsi="맑은 고딕"/>
          <w:sz w:val="22"/>
          <w:szCs w:val="22"/>
        </w:rPr>
        <w:t xml:space="preserve">현지 소비 트렌드·규제 변화·인증 요건 변경 주간 확인(KOTRA·각국 세관 공지)</w:t>
      </w:r>
    </w:p>
    <w:p>
      <w:pPr>
        <w:pStyle w:val="ListParagraph"/>
        <w:numPr>
          <w:ilvl w:val="0"/>
          <w:numId w:val="2"/>
        </w:numPr>
      </w:pPr>
      <w:r>
        <w:rPr>
          <w:rFonts w:ascii="맑은 고딕" w:cs="맑은 고딕" w:eastAsia="맑은 고딕" w:hAnsi="맑은 고딕"/>
          <w:sz w:val="22"/>
          <w:szCs w:val="22"/>
        </w:rPr>
        <w:t xml:space="preserve">영업팀 현장 보고 및 바이어 피드백 기반 경쟁사 정보 수집</w:t>
      </w:r>
    </w:p>
    <w:p>
      <w:pPr>
        <w:pStyle w:val="ListParagraph"/>
        <w:numPr>
          <w:ilvl w:val="0"/>
          <w:numId w:val="2"/>
        </w:numPr>
      </w:pPr>
      <w:r>
        <w:rPr>
          <w:rFonts w:ascii="맑은 고딕" w:cs="맑은 고딕" w:eastAsia="맑은 고딕" w:hAnsi="맑은 고딕"/>
          <w:sz w:val="22"/>
          <w:szCs w:val="22"/>
        </w:rPr>
        <w:t xml:space="preserve">분기별 경쟁사 동향 종합 리포트 작성 및 전 팀 공유</w:t>
      </w:r>
    </w:p>
    <w:p>
      <w:pPr>
        <w:pStyle w:val="ListParagraph"/>
        <w:numPr>
          <w:ilvl w:val="0"/>
          <w:numId w:val="2"/>
        </w:numPr>
      </w:pPr>
      <w:r>
        <w:rPr>
          <w:rFonts w:ascii="맑은 고딕" w:cs="맑은 고딕" w:eastAsia="맑은 고딕" w:hAnsi="맑은 고딕"/>
          <w:sz w:val="22"/>
          <w:szCs w:val="22"/>
        </w:rPr>
        <w:t xml:space="preserve">경쟁사 분석 결과를 가격·채널·제품 전략에 반영</w:t>
      </w:r>
    </w:p>
    <w:p>
      <w:r>
        <w:t xml:space="preserve"/>
      </w:r>
    </w:p>
    <w:p>
      <w:pPr>
        <w:spacing w:after="120"/>
      </w:pPr>
      <w:r>
        <w:rPr>
          <w:rFonts w:ascii="맑은 고딕" w:cs="맑은 고딕" w:eastAsia="맑은 고딕" w:hAnsi="맑은 고딕"/>
          <w:sz w:val="22"/>
          <w:szCs w:val="22"/>
        </w:rPr>
        <w:t xml:space="preserve">■ 핵심 체계</w:t>
      </w:r>
    </w:p>
    <w:p>
      <w:pPr>
        <w:spacing w:after="120"/>
      </w:pPr>
      <w:r>
        <w:rPr>
          <w:rFonts w:ascii="맑은 고딕" w:cs="맑은 고딕" w:eastAsia="맑은 고딕" w:hAnsi="맑은 고딕"/>
          <w:sz w:val="22"/>
          <w:szCs w:val="22"/>
        </w:rPr>
        <w:t xml:space="preserve">시장 동향 모니터링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000"/>
        <w:gridCol w:w="3238"/>
      </w:tblGrid>
      <w:tr>
        <w:tc>
          <w:tcPr>
            <w:tcW w:type="dxa" w:w="2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정보 유형</w:t>
            </w:r>
          </w:p>
        </w:tc>
        <w:tc>
          <w:tcPr>
            <w:tcW w:type="dxa" w:w="2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주요 소스</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모니터링 주기</w:t>
            </w:r>
          </w:p>
        </w:tc>
        <w:tc>
          <w:tcPr>
            <w:tcW w:type="dxa" w:w="32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경쟁사 가격</w:t>
            </w:r>
          </w:p>
        </w:tc>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Amazon·각 플랫폼</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주간</w:t>
            </w:r>
          </w:p>
        </w:tc>
        <w:tc>
          <w:tcPr>
            <w:tcW w:type="dxa" w:w="32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영업 기획</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소비자 트렌드</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Google Trends·SNS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c>
          <w:tcPr>
            <w:tcW w:type="dxa" w:w="32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영업 기획</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규제·인증 변경</w:t>
            </w:r>
          </w:p>
        </w:tc>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KOTRA·각국 세관</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c>
          <w:tcPr>
            <w:tcW w:type="dxa" w:w="32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무역/통관</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바이어 현장 동향</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영업팀 현장 보고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c>
          <w:tcPr>
            <w:tcW w:type="dxa" w:w="32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지역 담당</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플랫폼 정책 변경</w:t>
            </w:r>
          </w:p>
        </w:tc>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Amazon·플랫폼 공지</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상시</w:t>
            </w:r>
          </w:p>
        </w:tc>
        <w:tc>
          <w:tcPr>
            <w:tcW w:type="dxa" w:w="32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채널 담당</w:t>
            </w:r>
          </w:p>
        </w:tc>
      </w:tr>
    </w:tbl>
    <w:p>
      <w:r>
        <w:t xml:space="preserve"/>
      </w:r>
    </w:p>
    <w:p>
      <w:pPr>
        <w:spacing w:after="120"/>
      </w:pPr>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체크리스트 항목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주요 시장 경쟁사 리스트 분기 업데이트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경쟁사 가격 변동 주간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주요 플랫폼 정책 변경 사항 모니터링</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현지 소비 트렌드 월간 리포트 수집</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KOTRA 해외 시장 보고서 월간 검토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영업팀 현장 경쟁사 정보 수집 창구 운영</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분기별 경쟁사 분석 리포트 작성</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전략 조정 제안서 경영진 제출</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Google Alerts 키워드(경쟁사·시장명) 설정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업계 무역 전시회 참가 계획 수립</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bl>
    <w:p>
      <w:r>
        <w:t xml:space="preserve"/>
      </w:r>
    </w:p>
    <w:p>
      <w:pPr>
        <w:pStyle w:val="Heading2"/>
      </w:pPr>
      <w:r>
        <w:rPr>
          <w:rFonts w:ascii="맑은 고딕" w:cs="맑은 고딕" w:eastAsia="맑은 고딕" w:hAnsi="맑은 고딕"/>
          <w:b/>
          <w:bCs/>
          <w:color w:val="2E75B6"/>
          <w:sz w:val="28"/>
          <w:szCs w:val="28"/>
        </w:rPr>
        <w:t xml:space="preserve">2.6 해외 영업 성과 분석 및 리포팅</w:t>
      </w:r>
    </w:p>
    <w:p>
      <w:pPr>
        <w:spacing w:after="120"/>
      </w:pPr>
      <w:r>
        <w:rPr>
          <w:rFonts w:ascii="맑은 고딕" w:cs="맑은 고딕" w:eastAsia="맑은 고딕" w:hAnsi="맑은 고딕"/>
          <w:sz w:val="22"/>
          <w:szCs w:val="22"/>
        </w:rPr>
        <w:t xml:space="preserve">■ 업무 프로세스</w:t>
      </w:r>
    </w:p>
    <w:p>
      <w:pPr>
        <w:pStyle w:val="ListParagraph"/>
        <w:numPr>
          <w:ilvl w:val="0"/>
          <w:numId w:val="2"/>
        </w:numPr>
      </w:pPr>
      <w:r>
        <w:rPr>
          <w:rFonts w:ascii="맑은 고딕" w:cs="맑은 고딕" w:eastAsia="맑은 고딕" w:hAnsi="맑은 고딕"/>
          <w:sz w:val="22"/>
          <w:szCs w:val="22"/>
        </w:rPr>
        <w:t xml:space="preserve">주간 해외 매출·채널별 성과를 CRM·플랫폼 대시보드에서 집계</w:t>
      </w:r>
    </w:p>
    <w:p>
      <w:pPr>
        <w:pStyle w:val="ListParagraph"/>
        <w:numPr>
          <w:ilvl w:val="0"/>
          <w:numId w:val="2"/>
        </w:numPr>
      </w:pPr>
      <w:r>
        <w:rPr>
          <w:rFonts w:ascii="맑은 고딕" w:cs="맑은 고딕" w:eastAsia="맑은 고딕" w:hAnsi="맑은 고딕"/>
          <w:sz w:val="22"/>
          <w:szCs w:val="22"/>
        </w:rPr>
        <w:t xml:space="preserve">목표 대비 달성률, 전년 동기 대비 성장률 및 환율 변동 영향 분리 분석</w:t>
      </w:r>
    </w:p>
    <w:p>
      <w:pPr>
        <w:pStyle w:val="ListParagraph"/>
        <w:numPr>
          <w:ilvl w:val="0"/>
          <w:numId w:val="2"/>
        </w:numPr>
      </w:pPr>
      <w:r>
        <w:rPr>
          <w:rFonts w:ascii="맑은 고딕" w:cs="맑은 고딕" w:eastAsia="맑은 고딕" w:hAnsi="맑은 고딕"/>
          <w:sz w:val="22"/>
          <w:szCs w:val="22"/>
        </w:rPr>
        <w:t xml:space="preserve">성과 부진 원인 파악(채널·지역·제품·담당자 별) 및 개선 과제 도출</w:t>
      </w:r>
    </w:p>
    <w:p>
      <w:pPr>
        <w:pStyle w:val="ListParagraph"/>
        <w:numPr>
          <w:ilvl w:val="0"/>
          <w:numId w:val="2"/>
        </w:numPr>
      </w:pPr>
      <w:r>
        <w:rPr>
          <w:rFonts w:ascii="맑은 고딕" w:cs="맑은 고딕" w:eastAsia="맑은 고딕" w:hAnsi="맑은 고딕"/>
          <w:sz w:val="22"/>
          <w:szCs w:val="22"/>
        </w:rPr>
        <w:t xml:space="preserve">월간 해외 영업 성과 보고서 작성(채널별·지역별·담당자별 분석 포함)</w:t>
      </w:r>
    </w:p>
    <w:p>
      <w:pPr>
        <w:pStyle w:val="ListParagraph"/>
        <w:numPr>
          <w:ilvl w:val="0"/>
          <w:numId w:val="2"/>
        </w:numPr>
      </w:pPr>
      <w:r>
        <w:rPr>
          <w:rFonts w:ascii="맑은 고딕" w:cs="맑은 고딕" w:eastAsia="맑은 고딕" w:hAnsi="맑은 고딕"/>
          <w:sz w:val="22"/>
          <w:szCs w:val="22"/>
        </w:rPr>
        <w:t xml:space="preserve">분기 경영진 보고 자료 작성 및 발표</w:t>
      </w:r>
    </w:p>
    <w:p>
      <w:pPr>
        <w:pStyle w:val="ListParagraph"/>
        <w:numPr>
          <w:ilvl w:val="0"/>
          <w:numId w:val="2"/>
        </w:numPr>
      </w:pPr>
      <w:r>
        <w:rPr>
          <w:rFonts w:ascii="맑은 고딕" w:cs="맑은 고딕" w:eastAsia="맑은 고딕" w:hAnsi="맑은 고딕"/>
          <w:sz w:val="22"/>
          <w:szCs w:val="22"/>
        </w:rPr>
        <w:t xml:space="preserve">보고 기반 다음 분기 전략 수정 및 Action Item 설정</w:t>
      </w:r>
    </w:p>
    <w:p>
      <w:r>
        <w:t xml:space="preserve"/>
      </w:r>
    </w:p>
    <w:p>
      <w:pPr>
        <w:spacing w:after="120"/>
      </w:pPr>
      <w:r>
        <w:rPr>
          <w:rFonts w:ascii="맑은 고딕" w:cs="맑은 고딕" w:eastAsia="맑은 고딕" w:hAnsi="맑은 고딕"/>
          <w:sz w:val="22"/>
          <w:szCs w:val="22"/>
        </w:rPr>
        <w:t xml:space="preserve">■ 핵심 체계</w:t>
      </w:r>
    </w:p>
    <w:p>
      <w:pPr>
        <w:spacing w:after="120"/>
      </w:pPr>
      <w:r>
        <w:rPr>
          <w:rFonts w:ascii="맑은 고딕" w:cs="맑은 고딕" w:eastAsia="맑은 고딕" w:hAnsi="맑은 고딕"/>
          <w:sz w:val="22"/>
          <w:szCs w:val="22"/>
        </w:rPr>
        <w:t xml:space="preserve">해외 영업 리포트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800"/>
        <w:gridCol w:w="3000"/>
        <w:gridCol w:w="2000"/>
        <w:gridCol w:w="2838"/>
      </w:tblGrid>
      <w:tr>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보고 주기</w:t>
            </w:r>
          </w:p>
        </w:tc>
        <w:tc>
          <w:tcPr>
            <w:tcW w:type="dxa" w:w="3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주요 내용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수신자</w:t>
            </w:r>
          </w:p>
        </w:tc>
        <w:tc>
          <w:tcPr>
            <w:tcW w:type="dxa" w:w="2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형식</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주간</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채널별 매출·주요 이슈</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팀장</w:t>
            </w:r>
          </w:p>
        </w:tc>
        <w:tc>
          <w:tcPr>
            <w:tcW w:type="dxa" w:w="2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슬랙·이메일</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목표 달성률·채널·지역별 분석</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임원진</w:t>
            </w:r>
          </w:p>
        </w:tc>
        <w:tc>
          <w:tcPr>
            <w:tcW w:type="dxa" w:w="2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PPT·PDF</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전략 리뷰·다음 분기 계획</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경영진</w:t>
            </w:r>
          </w:p>
        </w:tc>
        <w:tc>
          <w:tcPr>
            <w:tcW w:type="dxa" w:w="2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임원 보고</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연간</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연간 성과·내년 전략 방향</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전사</w:t>
            </w:r>
          </w:p>
        </w:tc>
        <w:tc>
          <w:tcPr>
            <w:tcW w:type="dxa" w:w="2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전사 공유</w:t>
            </w:r>
          </w:p>
        </w:tc>
      </w:tr>
    </w:tbl>
    <w:p>
      <w:r>
        <w:t xml:space="preserve"/>
      </w:r>
    </w:p>
    <w:p>
      <w:pPr>
        <w:spacing w:after="120"/>
      </w:pPr>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체크리스트 항목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주간 해외 매출 대시보드 업데이트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채널별·지역별 매출 집계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목표 대비 달성률 분석</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환율 영향 분리 분석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성과 부진 원인 3가지 이상 도출</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개선 과제 및 Action Item 설정</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월간 성과 보고서 작성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경영진 보고 자료(PPT) 준비</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다음 달 전략 수정 반영 여부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분기별 경쟁사 대비 자사 포지션 분석</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bl>
    <w:p>
      <w:r>
        <w:t xml:space="preserve"/>
      </w:r>
    </w:p>
    <w:p>
      <w:pPr>
        <w:pStyle w:val="Heading1"/>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c>
          <w:tcPr>
            <w:tcW w:type="dxa" w:w="2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지표명</w:t>
            </w:r>
          </w:p>
        </w:tc>
        <w:tc>
          <w:tcPr>
            <w:tcW w:type="dxa" w:w="3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산식/기준</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목표 기준</w:t>
            </w:r>
          </w:p>
        </w:tc>
        <w:tc>
          <w:tcPr>
            <w:tcW w:type="dxa" w:w="21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측정 주기</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해외 수출 매출</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채널별 해외 매출 합계</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연간 목표 100% 달성</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해외 매출 성장률</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(당기-전기)/전기×100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전년 대비 20%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신규 진출 시장 수</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신규 수출 국가 수</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연 2개 이상</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연간</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채널 다각화 지수</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단일 채널 매출 의존도</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1개 채널 50% 이하</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수출 이익률</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(수출 매출-비용)/수출 매출</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15% 이상</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시장 조사 리포트 발행 수</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분기별 리포트 건수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 1건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예산 집행률</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실집행/계획×100</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90~110%</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전략 실행률</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계획 대비 실행 완료 과제 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85%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r>
    </w:tbl>
    <w:p>
      <w:r>
        <w:t xml:space="preserve"/>
      </w:r>
    </w:p>
    <w:p>
      <w:pPr>
        <w:pStyle w:val="Heading1"/>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도구명</w:t>
            </w:r>
          </w:p>
        </w:tc>
        <w:tc>
          <w:tcPr>
            <w:tcW w:type="dxa" w:w="2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용도</w:t>
            </w:r>
          </w:p>
        </w:tc>
        <w:tc>
          <w:tcPr>
            <w:tcW w:type="dxa" w:w="1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무료/유료</w:t>
            </w:r>
          </w:p>
        </w:tc>
        <w:tc>
          <w:tcPr>
            <w:tcW w:type="dxa" w:w="36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추천 이유</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KOTRA 해외 시장 뉴스</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해외 시장 정보 조사</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무료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국가별 시장 동향 및 바이어 DB</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Euromonitor</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글로벌 소비 시장 리서치</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국가별 카테고리 시장 규모 데이터</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ITC Trade Map</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수출입 통계 분석</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무료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국가별 HS코드 기준 무역 데이터</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HubSpot CRM</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해외 바이어 파이프라인 관리</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무료/유료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영업 단계별 관리 및 자동화</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Google Analytics 4</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글로벌 자사몰 트래픽 분석</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무료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국가별 방문자·전환율 분석</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Looker Studio</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해외 매출 대시보드 시각화</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무료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GA4·시트 연동 자동 리포트</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Slack</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글로벌 팀 실시간 협업</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시차 극복 비동기 커뮤니케이션</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Google Workspace</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문서·스프레드시트 공동 작업</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글로벌 팀 동시 편집</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Zoom</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해외 바이어 화상 미팅</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글로벌 화상 미팅 표준 툴</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LinkedIn Sales Navigator</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해외 바이어·파트너 발굴</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타겟 바이어 검색 및 아웃리치</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Notion</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전략 문서 및 지식베이스 관리</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팀 내 정보 공유 및 버전 관리</w:t>
            </w:r>
          </w:p>
        </w:tc>
      </w:tr>
    </w:tbl>
    <w:p>
      <w:r>
        <w:t xml:space="preserve"/>
      </w:r>
    </w:p>
    <w:p>
      <w:pPr>
        <w:pStyle w:val="Heading1"/>
      </w:pPr>
      <w:r>
        <w:rPr>
          <w:rFonts w:ascii="맑은 고딕" w:cs="맑은 고딕" w:eastAsia="맑은 고딕" w:hAnsi="맑은 고딕"/>
          <w:b/>
          <w:bCs/>
          <w:color w:val="1F3864"/>
          <w:sz w:val="32"/>
          <w:szCs w:val="32"/>
        </w:rPr>
        <w:t xml:space="preserve">5장. 협업 가이드</w:t>
      </w:r>
    </w:p>
    <w:p>
      <w:pPr>
        <w:spacing w:after="120"/>
      </w:pPr>
      <w:r>
        <w:rPr>
          <w:rFonts w:ascii="맑은 고딕" w:cs="맑은 고딕" w:eastAsia="맑은 고딕" w:hAnsi="맑은 고딕"/>
          <w:sz w:val="22"/>
          <w:szCs w:val="22"/>
        </w:rPr>
        <w:t xml:space="preserve">해외영업 기획/전략 담당자는 수출 영업팀과의 긴밀한 협업을 통해 지역별 목표를 효과적으로 배분하고 실적을 리뷰합니다. 월간 성과 리뷰 회의를 통해 채널·지역별 달성 현황을 공유하고, 부진 원인 분석과 개선 방향을 함께 논의합니다. 또한 시장 조사 결과와 경쟁사 동향 정보를 영업팀에 정기적으로 제공하여, 각 담당자가 현장에서 보다 정확한 판단을 내릴 수 있도록 지원합니다.</w:t>
      </w:r>
    </w:p>
    <w:p>
      <w:pPr>
        <w:spacing w:after="120"/>
      </w:pPr>
      <w:r>
        <w:rPr>
          <w:rFonts w:ascii="맑은 고딕" w:cs="맑은 고딕" w:eastAsia="맑은 고딕" w:hAnsi="맑은 고딕"/>
          <w:sz w:val="22"/>
          <w:szCs w:val="22"/>
        </w:rPr>
        <w:t xml:space="preserve">마케팅팀과는 글로벌 캠페인 전략과 예산 배분을 협의하며, 재무팀과는 해외 매출 예산 수립과 환율 리스크 대응 방안을 함께 검토합니다. 특히 환율 급변 시에는 재무팀과 즉각적인 협의 채널을 통해 목표 재조정 및 수익성 보전 방안을 마련합니다. 분기별 재무 검토 회의에서는 채널별 투자 대비 성과(ROI)를 분석하여 예산의 효율적 재배분을 결정합니다.</w:t>
      </w:r>
    </w:p>
    <w:p>
      <w:pPr>
        <w:spacing w:after="120"/>
      </w:pPr>
      <w:r>
        <w:rPr>
          <w:rFonts w:ascii="맑은 고딕" w:cs="맑은 고딕" w:eastAsia="맑은 고딕" w:hAnsi="맑은 고딕"/>
          <w:sz w:val="22"/>
          <w:szCs w:val="22"/>
        </w:rPr>
        <w:t xml:space="preserve">무역/통관팀과는 수출 규제 및 인증 요건 변경 사항을 공유하고, 신규 시장 진입 시 규제 리스크를 사전에 평가합니다. CS팀으로부터는 고객 클레임 데이터를 정기적으로 수집하여 제품·채널 전략 개선에 반영합니다. 이러한 다부서 협업 체계를 통해 해외영업 기획/전략 담당자는 전사적인 해외 영업 방향성을 조율하고 지속적인 개선을 이끌어냅니다.</w:t>
      </w:r>
    </w:p>
    <w:p>
      <w:pPr>
        <w:pStyle w:val="Heading1"/>
      </w:pPr>
      <w:r>
        <w:rPr>
          <w:rFonts w:ascii="맑은 고딕" w:cs="맑은 고딕" w:eastAsia="맑은 고딕" w:hAnsi="맑은 고딕"/>
          <w:b/>
          <w:bCs/>
          <w:color w:val="1F3864"/>
          <w:sz w:val="32"/>
          <w:szCs w:val="32"/>
        </w:rPr>
        <w:t xml:space="preserve">6장. 자주 발생하는 이슈 &amp; 해결책</w:t>
      </w:r>
    </w:p>
    <w:p>
      <w:pPr>
        <w:pStyle w:val="Heading3"/>
      </w:pPr>
      <w:r>
        <w:rPr>
          <w:rFonts w:ascii="맑은 고딕" w:cs="맑은 고딕" w:eastAsia="맑은 고딕" w:hAnsi="맑은 고딕"/>
          <w:b/>
          <w:bCs/>
          <w:color w:val="404040"/>
          <w:sz w:val="24"/>
          <w:szCs w:val="24"/>
        </w:rPr>
        <w:t xml:space="preserve">Q1: 해외 시장 조사 후 여러 시장이 동등하게 매력적으로 보여 진입 우선순위를 결정하기 어려울 때</w:t>
      </w:r>
    </w:p>
    <w:p>
      <w:pPr>
        <w:spacing w:after="120"/>
      </w:pPr>
      <w:r>
        <w:rPr>
          <w:rFonts w:ascii="맑은 고딕" w:cs="맑은 고딕" w:eastAsia="맑은 고딕" w:hAnsi="맑은 고딕"/>
          <w:sz w:val="22"/>
          <w:szCs w:val="22"/>
        </w:rPr>
        <w:t xml:space="preserve">▶ 상황: 미국·일본·동남아 3개 시장 모두 매출 잠재력이 높아 보여 경영진이 어느 시장에 먼저 진입할지 결정을 내리지 못하고 있습니다.</w:t>
      </w:r>
    </w:p>
    <w:p>
      <w:pPr>
        <w:spacing w:after="120"/>
      </w:pPr>
      <w:r>
        <w:rPr>
          <w:rFonts w:ascii="맑은 고딕" w:cs="맑은 고딕" w:eastAsia="맑은 고딕" w:hAnsi="맑은 고딕"/>
          <w:sz w:val="22"/>
          <w:szCs w:val="22"/>
        </w:rPr>
        <w:t xml:space="preserve">▶ 원인: 정량적 비교 기준 없이 직관에만 의존하거나, 각 시장의 리스크 요인이 충분히 정량화되지 않은 경우 우선순위 결정이 어렵습니다.</w:t>
      </w:r>
    </w:p>
    <w:p>
      <w:pPr>
        <w:spacing w:after="120"/>
      </w:pPr>
      <w:r>
        <w:rPr>
          <w:rFonts w:ascii="맑은 고딕" w:cs="맑은 고딕" w:eastAsia="맑은 고딕" w:hAnsi="맑은 고딕"/>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시장 규모·성장률·경쟁 강도·진입 비용·규제 리스크 5개 항목을 정량 점수(1~5점)로 평가하는 우선순위 매트릭스를 작성합니다.</w:t>
      </w:r>
    </w:p>
    <w:p>
      <w:pPr>
        <w:pStyle w:val="ListParagraph"/>
        <w:numPr>
          <w:ilvl w:val="0"/>
          <w:numId w:val="2"/>
        </w:numPr>
      </w:pPr>
      <w:r>
        <w:rPr>
          <w:rFonts w:ascii="맑은 고딕" w:cs="맑은 고딕" w:eastAsia="맑은 고딕" w:hAnsi="맑은 고딕"/>
          <w:sz w:val="22"/>
          <w:szCs w:val="22"/>
        </w:rPr>
        <w:t xml:space="preserve">각 항목의 중요도에 따라 가중치를 부여하여 종합 점수를 산출하고 순위를 도출합니다.</w:t>
      </w:r>
    </w:p>
    <w:p>
      <w:pPr>
        <w:pStyle w:val="ListParagraph"/>
        <w:numPr>
          <w:ilvl w:val="0"/>
          <w:numId w:val="2"/>
        </w:numPr>
      </w:pPr>
      <w:r>
        <w:rPr>
          <w:rFonts w:ascii="맑은 고딕" w:cs="맑은 고딕" w:eastAsia="맑은 고딕" w:hAnsi="맑은 고딕"/>
          <w:sz w:val="22"/>
          <w:szCs w:val="22"/>
        </w:rPr>
        <w:t xml:space="preserve">파일럿 진입 시 소요 예산과 기간을 기준으로 리소스 대비 기대 ROI를 비교합니다.</w:t>
      </w:r>
    </w:p>
    <w:p>
      <w:pPr>
        <w:pStyle w:val="ListParagraph"/>
        <w:numPr>
          <w:ilvl w:val="0"/>
          <w:numId w:val="2"/>
        </w:numPr>
      </w:pPr>
      <w:r>
        <w:rPr>
          <w:rFonts w:ascii="맑은 고딕" w:cs="맑은 고딕" w:eastAsia="맑은 고딕" w:hAnsi="맑은 고딕"/>
          <w:sz w:val="22"/>
          <w:szCs w:val="22"/>
        </w:rPr>
        <w:t xml:space="preserve">경영진 보고 시 1순위·2순위 시장 선정 근거를 데이터 기반으로 제시하여 의사결정을 명확히 합니다.</w:t>
      </w:r>
    </w:p>
    <w:p>
      <w:pPr>
        <w:pStyle w:val="ListParagraph"/>
        <w:numPr>
          <w:ilvl w:val="0"/>
          <w:numId w:val="2"/>
        </w:numPr>
      </w:pPr>
      <w:r>
        <w:rPr>
          <w:rFonts w:ascii="맑은 고딕" w:cs="맑은 고딕" w:eastAsia="맑은 고딕" w:hAnsi="맑은 고딕"/>
          <w:sz w:val="22"/>
          <w:szCs w:val="22"/>
        </w:rPr>
        <w:t xml:space="preserve">선택받지 못한 시장은 '관찰 리스트'로 관리하며 다음 분기에 재평가 일정을 설정합니다.</w:t>
      </w:r>
    </w:p>
    <w:p>
      <w:r>
        <w:t xml:space="preserve"/>
      </w:r>
    </w:p>
    <w:p>
      <w:pPr>
        <w:pStyle w:val="Heading3"/>
      </w:pPr>
      <w:r>
        <w:rPr>
          <w:rFonts w:ascii="맑은 고딕" w:cs="맑은 고딕" w:eastAsia="맑은 고딕" w:hAnsi="맑은 고딕"/>
          <w:b/>
          <w:bCs/>
          <w:color w:val="404040"/>
          <w:sz w:val="24"/>
          <w:szCs w:val="24"/>
        </w:rPr>
        <w:t xml:space="preserve">Q2: 채널별 가격이 달라 플랫폼 간 가격 충돌이 발생했을 때</w:t>
      </w:r>
    </w:p>
    <w:p>
      <w:pPr>
        <w:spacing w:after="120"/>
      </w:pPr>
      <w:r>
        <w:rPr>
          <w:rFonts w:ascii="맑은 고딕" w:cs="맑은 고딕" w:eastAsia="맑은 고딕" w:hAnsi="맑은 고딕"/>
          <w:sz w:val="22"/>
          <w:szCs w:val="22"/>
        </w:rPr>
        <w:t xml:space="preserve">▶ 상황: Amazon 판매 가격이 자사 글로벌몰보다 저렴하게 노출되어 자사몰 판매가 급감하고, 바이어로부터 가격 일관성 불만이 접수되었습니다.</w:t>
      </w:r>
    </w:p>
    <w:p>
      <w:pPr>
        <w:spacing w:after="120"/>
      </w:pPr>
      <w:r>
        <w:rPr>
          <w:rFonts w:ascii="맑은 고딕" w:cs="맑은 고딕" w:eastAsia="맑은 고딕" w:hAnsi="맑은 고딕"/>
          <w:sz w:val="22"/>
          <w:szCs w:val="22"/>
        </w:rPr>
        <w:t xml:space="preserve">▶ 원인: 채널별 가격 정책이 문서화되지 않은 상태에서 각 담당자가 독립적으로 할인·프로모션을 진행한 결과 채널 간 가격 충돌이 발생하였습니다.</w:t>
      </w:r>
    </w:p>
    <w:p>
      <w:pPr>
        <w:spacing w:after="120"/>
      </w:pPr>
      <w:r>
        <w:rPr>
          <w:rFonts w:ascii="맑은 고딕" w:cs="맑은 고딕" w:eastAsia="맑은 고딕" w:hAnsi="맑은 고딕"/>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즉시 모든 채널의 현재 소비자 가격을 조사하여 충돌 현황 전체를 파악합니다.</w:t>
      </w:r>
    </w:p>
    <w:p>
      <w:pPr>
        <w:pStyle w:val="ListParagraph"/>
        <w:numPr>
          <w:ilvl w:val="0"/>
          <w:numId w:val="2"/>
        </w:numPr>
      </w:pPr>
      <w:r>
        <w:rPr>
          <w:rFonts w:ascii="맑은 고딕" w:cs="맑은 고딕" w:eastAsia="맑은 고딕" w:hAnsi="맑은 고딕"/>
          <w:sz w:val="22"/>
          <w:szCs w:val="22"/>
        </w:rPr>
        <w:t xml:space="preserve">채널별 최소 판매 가격(MAP: Minimum Advertised Price) 정책을 수립하고 전 팀원에게 공지합니다.</w:t>
      </w:r>
    </w:p>
    <w:p>
      <w:pPr>
        <w:pStyle w:val="ListParagraph"/>
        <w:numPr>
          <w:ilvl w:val="0"/>
          <w:numId w:val="2"/>
        </w:numPr>
      </w:pPr>
      <w:r>
        <w:rPr>
          <w:rFonts w:ascii="맑은 고딕" w:cs="맑은 고딕" w:eastAsia="맑은 고딕" w:hAnsi="맑은 고딕"/>
          <w:sz w:val="22"/>
          <w:szCs w:val="22"/>
        </w:rPr>
        <w:t xml:space="preserve">플랫폼 프로모션 진행 시 사전 기획/전략팀 승인 프로세스를 도입합니다.</w:t>
      </w:r>
    </w:p>
    <w:p>
      <w:pPr>
        <w:pStyle w:val="ListParagraph"/>
        <w:numPr>
          <w:ilvl w:val="0"/>
          <w:numId w:val="2"/>
        </w:numPr>
      </w:pPr>
      <w:r>
        <w:rPr>
          <w:rFonts w:ascii="맑은 고딕" w:cs="맑은 고딕" w:eastAsia="맑은 고딕" w:hAnsi="맑은 고딕"/>
          <w:sz w:val="22"/>
          <w:szCs w:val="22"/>
        </w:rPr>
        <w:t xml:space="preserve">자사몰과 플랫폼 간 가격 차별화 전략(자사몰 멤버십 혜택, 번들 구성 등)으로 경쟁력을 유지합니다.</w:t>
      </w:r>
    </w:p>
    <w:p>
      <w:r>
        <w:t xml:space="preserve"/>
      </w:r>
    </w:p>
    <w:p>
      <w:pPr>
        <w:pStyle w:val="Heading3"/>
      </w:pPr>
      <w:r>
        <w:rPr>
          <w:rFonts w:ascii="맑은 고딕" w:cs="맑은 고딕" w:eastAsia="맑은 고딕" w:hAnsi="맑은 고딕"/>
          <w:b/>
          <w:bCs/>
          <w:color w:val="404040"/>
          <w:sz w:val="24"/>
          <w:szCs w:val="24"/>
        </w:rPr>
        <w:t xml:space="preserve">Q3: 환율 급변동으로 수출 가격 경쟁력이 급락했을 때</w:t>
      </w:r>
    </w:p>
    <w:p>
      <w:pPr>
        <w:spacing w:after="120"/>
      </w:pPr>
      <w:r>
        <w:rPr>
          <w:rFonts w:ascii="맑은 고딕" w:cs="맑은 고딕" w:eastAsia="맑은 고딕" w:hAnsi="맑은 고딕"/>
          <w:sz w:val="22"/>
          <w:szCs w:val="22"/>
        </w:rPr>
        <w:t xml:space="preserve">▶ 상황: 원/달러 환율이 단기간에 크게 하락하여 달러 기준 수출 가격이 현지 경쟁사 대비 10~15% 비싸지는 상황이 발생했습니다.</w:t>
      </w:r>
    </w:p>
    <w:p>
      <w:pPr>
        <w:spacing w:after="120"/>
      </w:pPr>
      <w:r>
        <w:rPr>
          <w:rFonts w:ascii="맑은 고딕" w:cs="맑은 고딕" w:eastAsia="맑은 고딕" w:hAnsi="맑은 고딕"/>
          <w:sz w:val="22"/>
          <w:szCs w:val="22"/>
        </w:rPr>
        <w:t xml:space="preserve">▶ 원인: 환율 변동 시나리오별 대응 플랜이 사전에 수립되지 않아 즉각적인 가격 조정이 어렵습니다.</w:t>
      </w:r>
    </w:p>
    <w:p>
      <w:pPr>
        <w:spacing w:after="120"/>
      </w:pPr>
      <w:r>
        <w:rPr>
          <w:rFonts w:ascii="맑은 고딕" w:cs="맑은 고딕" w:eastAsia="맑은 고딕" w:hAnsi="맑은 고딕"/>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재무팀과 즉시 협의하여 환율 영향을 받는 수출 계약·채널·국가를 파악합니다.</w:t>
      </w:r>
    </w:p>
    <w:p>
      <w:pPr>
        <w:pStyle w:val="ListParagraph"/>
        <w:numPr>
          <w:ilvl w:val="0"/>
          <w:numId w:val="2"/>
        </w:numPr>
      </w:pPr>
      <w:r>
        <w:rPr>
          <w:rFonts w:ascii="맑은 고딕" w:cs="맑은 고딕" w:eastAsia="맑은 고딕" w:hAnsi="맑은 고딕"/>
          <w:sz w:val="22"/>
          <w:szCs w:val="22"/>
        </w:rPr>
        <w:t xml:space="preserve">단기적으로는 플랫폼 광고비 절감, 프로모션 축소로 마진을 확보합니다.</w:t>
      </w:r>
    </w:p>
    <w:p>
      <w:pPr>
        <w:pStyle w:val="ListParagraph"/>
        <w:numPr>
          <w:ilvl w:val="0"/>
          <w:numId w:val="2"/>
        </w:numPr>
      </w:pPr>
      <w:r>
        <w:rPr>
          <w:rFonts w:ascii="맑은 고딕" w:cs="맑은 고딕" w:eastAsia="맑은 고딕" w:hAnsi="맑은 고딕"/>
          <w:sz w:val="22"/>
          <w:szCs w:val="22"/>
        </w:rPr>
        <w:t xml:space="preserve">중장기적으로 선물환 계약(Forward Contract) 등 환 헤지 수단 도입을 재무팀에 제안합니다.</w:t>
      </w:r>
    </w:p>
    <w:p>
      <w:pPr>
        <w:pStyle w:val="ListParagraph"/>
        <w:numPr>
          <w:ilvl w:val="0"/>
          <w:numId w:val="2"/>
        </w:numPr>
      </w:pPr>
      <w:r>
        <w:rPr>
          <w:rFonts w:ascii="맑은 고딕" w:cs="맑은 고딕" w:eastAsia="맑은 고딕" w:hAnsi="맑은 고딕"/>
          <w:sz w:val="22"/>
          <w:szCs w:val="22"/>
        </w:rPr>
        <w:t xml:space="preserve">원가 절감 가능 항목(물류·포장)을 검토하여 달러 기준 가격 인하 여력을 확보합니다.</w:t>
      </w:r>
    </w:p>
    <w:p>
      <w:r>
        <w:t xml:space="preserve"/>
      </w:r>
    </w:p>
    <w:p>
      <w:pPr>
        <w:pStyle w:val="Heading3"/>
      </w:pPr>
      <w:r>
        <w:rPr>
          <w:rFonts w:ascii="맑은 고딕" w:cs="맑은 고딕" w:eastAsia="맑은 고딕" w:hAnsi="맑은 고딕"/>
          <w:b/>
          <w:bCs/>
          <w:color w:val="404040"/>
          <w:sz w:val="24"/>
          <w:szCs w:val="24"/>
        </w:rPr>
        <w:t xml:space="preserve">Q4: 해외 영업 목표를 분기 중반에 달성이 어려울 것으로 판단될 때</w:t>
      </w:r>
    </w:p>
    <w:p>
      <w:pPr>
        <w:spacing w:after="120"/>
      </w:pPr>
      <w:r>
        <w:rPr>
          <w:rFonts w:ascii="맑은 고딕" w:cs="맑은 고딕" w:eastAsia="맑은 고딕" w:hAnsi="맑은 고딕"/>
          <w:sz w:val="22"/>
          <w:szCs w:val="22"/>
        </w:rPr>
        <w:t xml:space="preserve">▶ 상황: 분기 6주차 기준 목표 달성률이 40% 이하로, 현재 추세로는 분기 목표 달성이 불가능한 상황입니다.</w:t>
      </w:r>
    </w:p>
    <w:p>
      <w:pPr>
        <w:spacing w:after="120"/>
      </w:pPr>
      <w:r>
        <w:rPr>
          <w:rFonts w:ascii="맑은 고딕" w:cs="맑은 고딕" w:eastAsia="맑은 고딕" w:hAnsi="맑은 고딕"/>
          <w:sz w:val="22"/>
          <w:szCs w:val="22"/>
        </w:rPr>
        <w:t xml:space="preserve">▶ 원인: 신규 바이어 계약 지연, 주요 플랫폼 판매 부진, 예상치 못한 시장 이슈가 복합적으로 작용한 결과입니다.</w:t>
      </w:r>
    </w:p>
    <w:p>
      <w:pPr>
        <w:spacing w:after="120"/>
      </w:pPr>
      <w:r>
        <w:rPr>
          <w:rFonts w:ascii="맑은 고딕" w:cs="맑은 고딕" w:eastAsia="맑은 고딕" w:hAnsi="맑은 고딕"/>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채널·지역·담당자별 부진 원인을 긴급 분석하여 가장 빠르게 회복 가능한 항목을 식별합니다.</w:t>
      </w:r>
    </w:p>
    <w:p>
      <w:pPr>
        <w:pStyle w:val="ListParagraph"/>
        <w:numPr>
          <w:ilvl w:val="0"/>
          <w:numId w:val="2"/>
        </w:numPr>
      </w:pPr>
      <w:r>
        <w:rPr>
          <w:rFonts w:ascii="맑은 고딕" w:cs="맑은 고딕" w:eastAsia="맑은 고딕" w:hAnsi="맑은 고딕"/>
          <w:sz w:val="22"/>
          <w:szCs w:val="22"/>
        </w:rPr>
        <w:t xml:space="preserve">기존 바이어 대상 재발주 유도 캠페인을 즉시 실행하여 단기 매출을 확보합니다.</w:t>
      </w:r>
    </w:p>
    <w:p>
      <w:pPr>
        <w:pStyle w:val="ListParagraph"/>
        <w:numPr>
          <w:ilvl w:val="0"/>
          <w:numId w:val="2"/>
        </w:numPr>
      </w:pPr>
      <w:r>
        <w:rPr>
          <w:rFonts w:ascii="맑은 고딕" w:cs="맑은 고딕" w:eastAsia="맑은 고딕" w:hAnsi="맑은 고딕"/>
          <w:sz w:val="22"/>
          <w:szCs w:val="22"/>
        </w:rPr>
        <w:t xml:space="preserve">플랫폼 광고 예산을 일시 증가시켜 전환율이 높은 채널 중심으로 집중 투자합니다.</w:t>
      </w:r>
    </w:p>
    <w:p>
      <w:pPr>
        <w:pStyle w:val="ListParagraph"/>
        <w:numPr>
          <w:ilvl w:val="0"/>
          <w:numId w:val="2"/>
        </w:numPr>
      </w:pPr>
      <w:r>
        <w:rPr>
          <w:rFonts w:ascii="맑은 고딕" w:cs="맑은 고딕" w:eastAsia="맑은 고딕" w:hAnsi="맑은 고딕"/>
          <w:sz w:val="22"/>
          <w:szCs w:val="22"/>
        </w:rPr>
        <w:t xml:space="preserve">경영진에게 수정 목표(Revised Target)를 보고하고, 달성 가능한 현실적 목표를 재설정합니다.</w:t>
      </w:r>
    </w:p>
    <w:p>
      <w:pPr>
        <w:pStyle w:val="ListParagraph"/>
        <w:numPr>
          <w:ilvl w:val="0"/>
          <w:numId w:val="2"/>
        </w:numPr>
      </w:pPr>
      <w:r>
        <w:rPr>
          <w:rFonts w:ascii="맑은 고딕" w:cs="맑은 고딕" w:eastAsia="맑은 고딕" w:hAnsi="맑은 고딕"/>
          <w:sz w:val="22"/>
          <w:szCs w:val="22"/>
        </w:rPr>
        <w:t xml:space="preserve">분기 말까지 주간 긴급 점검 회의를 실시하여 세부 Action Item 이행 현황을 관리합니다.</w:t>
      </w:r>
    </w:p>
    <w:p>
      <w:r>
        <w:t xml:space="preserve"/>
      </w:r>
    </w:p>
    <w:p>
      <w:pPr>
        <w:pStyle w:val="Heading3"/>
      </w:pPr>
      <w:r>
        <w:rPr>
          <w:rFonts w:ascii="맑은 고딕" w:cs="맑은 고딕" w:eastAsia="맑은 고딕" w:hAnsi="맑은 고딕"/>
          <w:b/>
          <w:bCs/>
          <w:color w:val="404040"/>
          <w:sz w:val="24"/>
          <w:szCs w:val="24"/>
        </w:rPr>
        <w:t xml:space="preserve">Q5: 신규 시장 진입 시 인증 취득이 오래 걸려 론칭 일정이 지연될 때</w:t>
      </w:r>
    </w:p>
    <w:p>
      <w:pPr>
        <w:spacing w:after="120"/>
      </w:pPr>
      <w:r>
        <w:rPr>
          <w:rFonts w:ascii="맑은 고딕" w:cs="맑은 고딕" w:eastAsia="맑은 고딕" w:hAnsi="맑은 고딕"/>
          <w:sz w:val="22"/>
          <w:szCs w:val="22"/>
        </w:rPr>
        <w:t xml:space="preserve">▶ 상황: 미국 시장 진입을 위한 FCC 인증 취득에 예상보다 3개월 이상 더 소요되어 전체 론칭 일정이 지연되고 있습니다.</w:t>
      </w:r>
    </w:p>
    <w:p>
      <w:pPr>
        <w:spacing w:after="120"/>
      </w:pPr>
      <w:r>
        <w:rPr>
          <w:rFonts w:ascii="맑은 고딕" w:cs="맑은 고딕" w:eastAsia="맑은 고딕" w:hAnsi="맑은 고딕"/>
          <w:sz w:val="22"/>
          <w:szCs w:val="22"/>
        </w:rPr>
        <w:t xml:space="preserve">▶ 원인: 신규 시장 진입 계획 수립 시 인증 소요 기간을 충분히 반영하지 않아 프로젝트 타임라인이 지나치게 낙관적으로 설정되었습니다.</w:t>
      </w:r>
    </w:p>
    <w:p>
      <w:pPr>
        <w:spacing w:after="120"/>
      </w:pPr>
      <w:r>
        <w:rPr>
          <w:rFonts w:ascii="맑은 고딕" w:cs="맑은 고딕" w:eastAsia="맑은 고딕" w:hAnsi="맑은 고딕"/>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무역/통관팀과 협의하여 현재 인증 진행 상황과 예상 완료 시점을 정확히 파악합니다.</w:t>
      </w:r>
    </w:p>
    <w:p>
      <w:pPr>
        <w:pStyle w:val="ListParagraph"/>
        <w:numPr>
          <w:ilvl w:val="0"/>
          <w:numId w:val="2"/>
        </w:numPr>
      </w:pPr>
      <w:r>
        <w:rPr>
          <w:rFonts w:ascii="맑은 고딕" w:cs="맑은 고딕" w:eastAsia="맑은 고딕" w:hAnsi="맑은 고딕"/>
          <w:sz w:val="22"/>
          <w:szCs w:val="22"/>
        </w:rPr>
        <w:t xml:space="preserve">인증 전문 대행사와 협력하여 인증 취득 절차 병렬 처리 또는 조기 완료 가능 항목을 확인합니다.</w:t>
      </w:r>
    </w:p>
    <w:p>
      <w:pPr>
        <w:pStyle w:val="ListParagraph"/>
        <w:numPr>
          <w:ilvl w:val="0"/>
          <w:numId w:val="2"/>
        </w:numPr>
      </w:pPr>
      <w:r>
        <w:rPr>
          <w:rFonts w:ascii="맑은 고딕" w:cs="맑은 고딕" w:eastAsia="맑은 고딕" w:hAnsi="맑은 고딕"/>
          <w:sz w:val="22"/>
          <w:szCs w:val="22"/>
        </w:rPr>
        <w:t xml:space="preserve">인증 완료 전까지 진입 가능한 다른 시장(인증 불필요 또는 단순 인증)을 우선 론칭하여 수익을 확보합니다.</w:t>
      </w:r>
    </w:p>
    <w:p>
      <w:pPr>
        <w:pStyle w:val="ListParagraph"/>
        <w:numPr>
          <w:ilvl w:val="0"/>
          <w:numId w:val="2"/>
        </w:numPr>
      </w:pPr>
      <w:r>
        <w:rPr>
          <w:rFonts w:ascii="맑은 고딕" w:cs="맑은 고딕" w:eastAsia="맑은 고딕" w:hAnsi="맑은 고딕"/>
          <w:sz w:val="22"/>
          <w:szCs w:val="22"/>
        </w:rPr>
        <w:t xml:space="preserve">향후 신규 시장 진입 계획 수립 시 인증 취득 기간(최소 3~6개월)을 프로젝트 일정에 반드시 포함합니다.</w:t>
      </w:r>
    </w:p>
    <w:p>
      <w:pPr>
        <w:pStyle w:val="ListParagraph"/>
        <w:numPr>
          <w:ilvl w:val="0"/>
          <w:numId w:val="2"/>
        </w:numPr>
      </w:pPr>
      <w:r>
        <w:rPr>
          <w:rFonts w:ascii="맑은 고딕" w:cs="맑은 고딕" w:eastAsia="맑은 고딕" w:hAnsi="맑은 고딕"/>
          <w:sz w:val="22"/>
          <w:szCs w:val="22"/>
        </w:rPr>
        <w:t xml:space="preserve">시장별 인증 요건 및 취득 기간 DB를 무역/통관팀과 함께 구축하여 향후 일정 계획의 정확도를 높입니다.</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2026-05-16T10:32:27.749Z</dcterms:created>
  <dcterms:modified xsi:type="dcterms:W3CDTF">2026-05-16T10:32:27.750Z</dcterms:modified>
</cp:coreProperties>
</file>

<file path=docProps/custom.xml><?xml version="1.0" encoding="utf-8"?>
<Properties xmlns="http://schemas.openxmlformats.org/officeDocument/2006/custom-properties" xmlns:vt="http://schemas.openxmlformats.org/officeDocument/2006/docPropsVTypes"/>
</file>